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5DCE" w14:textId="77777777" w:rsidR="00A61719" w:rsidRPr="00A7706C" w:rsidRDefault="00A61719" w:rsidP="00A61719">
      <w:pPr>
        <w:autoSpaceDE w:val="0"/>
        <w:autoSpaceDN w:val="0"/>
        <w:adjustRightInd w:val="0"/>
        <w:spacing w:after="120" w:line="240" w:lineRule="auto"/>
        <w:ind w:left="-284" w:right="-284"/>
        <w:jc w:val="both"/>
        <w:rPr>
          <w:rFonts w:ascii="Arial" w:hAnsi="Arial" w:cs="Arial"/>
          <w:b/>
          <w:bCs/>
          <w:sz w:val="28"/>
          <w:lang w:val="en-US"/>
        </w:rPr>
      </w:pPr>
      <w:bookmarkStart w:id="0" w:name="_GoBack"/>
      <w:bookmarkEnd w:id="0"/>
      <w:r w:rsidRPr="00A7706C">
        <w:rPr>
          <w:rFonts w:ascii="Arial" w:hAnsi="Arial" w:cs="Arial"/>
          <w:b/>
          <w:bCs/>
          <w:sz w:val="28"/>
          <w:lang w:val="en-US"/>
        </w:rPr>
        <w:t>Description of the Presence and Role in the Local Immunopathogenesis of Tertiary Lymphoid Structures in Non-Obese Diabetic (NOD) Mice at Different Stages of the Disease.</w:t>
      </w:r>
    </w:p>
    <w:p w14:paraId="2E551F33" w14:textId="4D67C8ED" w:rsidR="00A61719" w:rsidRPr="00A6220E" w:rsidRDefault="00A61719" w:rsidP="00A61719">
      <w:pPr>
        <w:pStyle w:val="NormalWeb"/>
        <w:spacing w:beforeAutospacing="0" w:after="200" w:afterAutospacing="0"/>
        <w:ind w:left="-284"/>
        <w:jc w:val="center"/>
        <w:rPr>
          <w:rFonts w:ascii="Arial" w:hAnsi="Arial" w:cs="Arial"/>
          <w:color w:val="000000"/>
          <w:szCs w:val="22"/>
        </w:rPr>
      </w:pPr>
      <w:r w:rsidRPr="00A6220E">
        <w:rPr>
          <w:rFonts w:ascii="Arial" w:hAnsi="Arial" w:cs="Arial"/>
          <w:color w:val="000000"/>
          <w:szCs w:val="22"/>
          <w:vertAlign w:val="superscript"/>
        </w:rPr>
        <w:t>1,2</w:t>
      </w:r>
      <w:r w:rsidRPr="00A6220E">
        <w:rPr>
          <w:rFonts w:ascii="Arial" w:hAnsi="Arial" w:cs="Arial"/>
          <w:color w:val="000000"/>
          <w:szCs w:val="22"/>
        </w:rPr>
        <w:t xml:space="preserve"> </w:t>
      </w:r>
      <w:proofErr w:type="gramStart"/>
      <w:r w:rsidRPr="00A6220E">
        <w:rPr>
          <w:rFonts w:ascii="Arial" w:hAnsi="Arial" w:cs="Arial"/>
          <w:color w:val="000000"/>
          <w:szCs w:val="22"/>
        </w:rPr>
        <w:t>Escamilla</w:t>
      </w:r>
      <w:proofErr w:type="gramEnd"/>
      <w:r w:rsidRPr="00A6220E">
        <w:rPr>
          <w:rFonts w:ascii="Arial" w:hAnsi="Arial" w:cs="Arial"/>
          <w:color w:val="000000"/>
          <w:szCs w:val="22"/>
        </w:rPr>
        <w:t xml:space="preserve">-Sánchez A., </w:t>
      </w:r>
      <w:r w:rsidRPr="00A6220E">
        <w:rPr>
          <w:rFonts w:ascii="Arial" w:hAnsi="Arial" w:cs="Arial"/>
          <w:color w:val="000000"/>
          <w:szCs w:val="22"/>
          <w:vertAlign w:val="superscript"/>
        </w:rPr>
        <w:t>3</w:t>
      </w:r>
      <w:r w:rsidRPr="00A6220E">
        <w:rPr>
          <w:rFonts w:ascii="Arial" w:hAnsi="Arial" w:cs="Arial"/>
          <w:color w:val="000000"/>
          <w:szCs w:val="22"/>
        </w:rPr>
        <w:t xml:space="preserve">González-Mariscal I., </w:t>
      </w:r>
      <w:r w:rsidRPr="00A6220E">
        <w:rPr>
          <w:rFonts w:ascii="Arial" w:hAnsi="Arial" w:cs="Arial"/>
          <w:color w:val="000000"/>
          <w:szCs w:val="22"/>
          <w:vertAlign w:val="superscript"/>
        </w:rPr>
        <w:t>4</w:t>
      </w:r>
      <w:r w:rsidRPr="00A6220E">
        <w:rPr>
          <w:rFonts w:ascii="Arial" w:hAnsi="Arial" w:cs="Arial"/>
          <w:color w:val="000000"/>
          <w:szCs w:val="22"/>
        </w:rPr>
        <w:t xml:space="preserve">Pacini A., </w:t>
      </w:r>
      <w:r w:rsidRPr="00A6220E">
        <w:rPr>
          <w:rFonts w:ascii="Arial" w:hAnsi="Arial" w:cs="Arial"/>
          <w:color w:val="000000"/>
          <w:szCs w:val="22"/>
          <w:vertAlign w:val="superscript"/>
        </w:rPr>
        <w:t>4</w:t>
      </w:r>
      <w:r w:rsidRPr="00A6220E">
        <w:rPr>
          <w:rFonts w:ascii="Arial" w:hAnsi="Arial" w:cs="Arial"/>
          <w:color w:val="000000"/>
          <w:szCs w:val="22"/>
        </w:rPr>
        <w:t xml:space="preserve">Villar S., </w:t>
      </w:r>
      <w:r w:rsidRPr="00A6220E">
        <w:rPr>
          <w:rFonts w:ascii="Arial" w:hAnsi="Arial" w:cs="Arial"/>
          <w:color w:val="000000"/>
          <w:szCs w:val="22"/>
          <w:vertAlign w:val="superscript"/>
        </w:rPr>
        <w:t>1,</w:t>
      </w:r>
      <w:r>
        <w:rPr>
          <w:rFonts w:ascii="Arial" w:hAnsi="Arial" w:cs="Arial"/>
          <w:color w:val="000000"/>
          <w:szCs w:val="22"/>
          <w:vertAlign w:val="superscript"/>
        </w:rPr>
        <w:t>5</w:t>
      </w:r>
      <w:r w:rsidRPr="00A6220E">
        <w:rPr>
          <w:rFonts w:ascii="Arial" w:hAnsi="Arial" w:cs="Arial"/>
          <w:color w:val="000000"/>
          <w:szCs w:val="22"/>
        </w:rPr>
        <w:t xml:space="preserve">Sánchez-Varo R., </w:t>
      </w:r>
      <w:r w:rsidRPr="00A6220E">
        <w:rPr>
          <w:rFonts w:ascii="Arial" w:hAnsi="Arial" w:cs="Arial"/>
          <w:color w:val="000000"/>
          <w:szCs w:val="22"/>
          <w:vertAlign w:val="superscript"/>
        </w:rPr>
        <w:t>1,</w:t>
      </w:r>
      <w:r>
        <w:rPr>
          <w:rFonts w:ascii="Arial" w:hAnsi="Arial" w:cs="Arial"/>
          <w:color w:val="000000"/>
          <w:szCs w:val="22"/>
          <w:vertAlign w:val="superscript"/>
        </w:rPr>
        <w:t>5</w:t>
      </w:r>
      <w:r w:rsidRPr="00A6220E">
        <w:rPr>
          <w:rFonts w:ascii="Arial" w:hAnsi="Arial" w:cs="Arial"/>
          <w:color w:val="000000"/>
          <w:szCs w:val="22"/>
        </w:rPr>
        <w:t xml:space="preserve">López-Villodres J.A., </w:t>
      </w:r>
      <w:r w:rsidRPr="00A6220E">
        <w:rPr>
          <w:rFonts w:ascii="Arial" w:hAnsi="Arial" w:cs="Arial"/>
          <w:color w:val="000000"/>
          <w:szCs w:val="22"/>
          <w:vertAlign w:val="superscript"/>
        </w:rPr>
        <w:t>1,</w:t>
      </w:r>
      <w:r>
        <w:rPr>
          <w:rFonts w:ascii="Arial" w:hAnsi="Arial" w:cs="Arial"/>
          <w:color w:val="000000"/>
          <w:szCs w:val="22"/>
          <w:vertAlign w:val="superscript"/>
        </w:rPr>
        <w:t>5</w:t>
      </w:r>
      <w:r w:rsidRPr="00A6220E">
        <w:rPr>
          <w:rFonts w:ascii="Arial" w:hAnsi="Arial" w:cs="Arial"/>
          <w:color w:val="000000"/>
          <w:szCs w:val="22"/>
        </w:rPr>
        <w:t xml:space="preserve">García-Díaz B., </w:t>
      </w:r>
      <w:r w:rsidRPr="00A6220E">
        <w:rPr>
          <w:rFonts w:ascii="Arial" w:hAnsi="Arial" w:cs="Arial"/>
          <w:color w:val="000000"/>
          <w:szCs w:val="22"/>
          <w:vertAlign w:val="superscript"/>
        </w:rPr>
        <w:t>1,</w:t>
      </w:r>
      <w:r>
        <w:rPr>
          <w:rFonts w:ascii="Arial" w:hAnsi="Arial" w:cs="Arial"/>
          <w:color w:val="000000"/>
          <w:szCs w:val="22"/>
          <w:vertAlign w:val="superscript"/>
        </w:rPr>
        <w:t>5</w:t>
      </w:r>
      <w:r w:rsidRPr="00A6220E">
        <w:rPr>
          <w:rFonts w:ascii="Arial" w:hAnsi="Arial" w:cs="Arial"/>
          <w:color w:val="000000"/>
          <w:szCs w:val="22"/>
        </w:rPr>
        <w:t xml:space="preserve">Mercado-Sáenz S and </w:t>
      </w:r>
      <w:r w:rsidRPr="00A6220E">
        <w:rPr>
          <w:rFonts w:ascii="Arial" w:hAnsi="Arial" w:cs="Arial"/>
          <w:color w:val="000000"/>
          <w:szCs w:val="22"/>
          <w:vertAlign w:val="superscript"/>
        </w:rPr>
        <w:t>1</w:t>
      </w:r>
      <w:r w:rsidRPr="00A6220E">
        <w:rPr>
          <w:rFonts w:ascii="Arial" w:hAnsi="Arial" w:cs="Arial"/>
          <w:color w:val="000000"/>
          <w:szCs w:val="22"/>
        </w:rPr>
        <w:t>Bermúdez D.</w:t>
      </w:r>
    </w:p>
    <w:p w14:paraId="6097DFF3" w14:textId="77777777" w:rsidR="00A61719" w:rsidRDefault="00A61719" w:rsidP="00A61719">
      <w:pPr>
        <w:autoSpaceDE w:val="0"/>
        <w:autoSpaceDN w:val="0"/>
        <w:adjustRightInd w:val="0"/>
        <w:spacing w:after="0" w:line="240" w:lineRule="auto"/>
        <w:ind w:left="-284" w:right="-284"/>
        <w:jc w:val="both"/>
        <w:rPr>
          <w:rFonts w:ascii="ArialMT" w:hAnsi="ArialMT" w:cs="ArialMT"/>
          <w:sz w:val="18"/>
          <w:szCs w:val="18"/>
        </w:rPr>
      </w:pPr>
      <w:r w:rsidRPr="00C10DC1">
        <w:rPr>
          <w:rFonts w:ascii="ArialMT" w:hAnsi="ArialMT" w:cs="ArialMT"/>
          <w:sz w:val="18"/>
          <w:szCs w:val="18"/>
          <w:vertAlign w:val="superscript"/>
        </w:rPr>
        <w:t>1</w:t>
      </w:r>
      <w:r>
        <w:rPr>
          <w:rFonts w:ascii="ArialMT" w:hAnsi="ArialMT" w:cs="ArialMT"/>
          <w:sz w:val="18"/>
          <w:szCs w:val="18"/>
          <w:vertAlign w:val="superscript"/>
        </w:rPr>
        <w:t xml:space="preserve"> </w:t>
      </w:r>
      <w:proofErr w:type="gramStart"/>
      <w:r w:rsidRPr="00C10DC1">
        <w:rPr>
          <w:rFonts w:ascii="ArialMT" w:hAnsi="ArialMT" w:cs="ArialMT"/>
          <w:sz w:val="18"/>
          <w:szCs w:val="18"/>
        </w:rPr>
        <w:t>Departamento</w:t>
      </w:r>
      <w:proofErr w:type="gramEnd"/>
      <w:r w:rsidRPr="00C10DC1">
        <w:rPr>
          <w:rFonts w:ascii="ArialMT" w:hAnsi="ArialMT" w:cs="ArialMT"/>
          <w:sz w:val="18"/>
          <w:szCs w:val="18"/>
        </w:rPr>
        <w:t xml:space="preserve"> </w:t>
      </w:r>
      <w:r w:rsidRPr="00F03956">
        <w:rPr>
          <w:rFonts w:ascii="ArialMT" w:hAnsi="ArialMT" w:cs="ArialMT"/>
          <w:sz w:val="18"/>
          <w:szCs w:val="18"/>
        </w:rPr>
        <w:t>de Fisiología Humana, Histología</w:t>
      </w:r>
      <w:r>
        <w:rPr>
          <w:rFonts w:ascii="ArialMT" w:hAnsi="ArialMT" w:cs="ArialMT"/>
          <w:sz w:val="18"/>
          <w:szCs w:val="18"/>
        </w:rPr>
        <w:t xml:space="preserve"> </w:t>
      </w:r>
      <w:r w:rsidRPr="00F03956">
        <w:rPr>
          <w:rFonts w:ascii="ArialMT" w:hAnsi="ArialMT" w:cs="ArialMT"/>
          <w:sz w:val="18"/>
          <w:szCs w:val="18"/>
        </w:rPr>
        <w:t>Humana, Anatomía</w:t>
      </w:r>
      <w:r>
        <w:rPr>
          <w:rFonts w:ascii="ArialMT" w:hAnsi="ArialMT" w:cs="ArialMT"/>
          <w:sz w:val="18"/>
          <w:szCs w:val="18"/>
        </w:rPr>
        <w:t xml:space="preserve"> </w:t>
      </w:r>
      <w:r w:rsidRPr="00F03956">
        <w:rPr>
          <w:rFonts w:ascii="ArialMT" w:hAnsi="ArialMT" w:cs="ArialMT"/>
          <w:sz w:val="18"/>
          <w:szCs w:val="18"/>
        </w:rPr>
        <w:t>Patológica y Educación Física y Deportiva</w:t>
      </w:r>
      <w:r w:rsidRPr="00C10DC1">
        <w:rPr>
          <w:rFonts w:ascii="ArialMT" w:hAnsi="ArialMT" w:cs="ArialMT"/>
          <w:sz w:val="18"/>
          <w:szCs w:val="18"/>
        </w:rPr>
        <w:t xml:space="preserve">, Facultad de </w:t>
      </w:r>
      <w:r>
        <w:rPr>
          <w:rFonts w:ascii="ArialMT" w:hAnsi="ArialMT" w:cs="ArialMT"/>
          <w:sz w:val="18"/>
          <w:szCs w:val="18"/>
        </w:rPr>
        <w:t>Medicina</w:t>
      </w:r>
      <w:r w:rsidRPr="00C10DC1">
        <w:rPr>
          <w:rFonts w:ascii="ArialMT" w:hAnsi="ArialMT" w:cs="ArialMT"/>
          <w:sz w:val="18"/>
          <w:szCs w:val="18"/>
        </w:rPr>
        <w:t xml:space="preserve">, Universidad de </w:t>
      </w:r>
      <w:r>
        <w:rPr>
          <w:rFonts w:ascii="ArialMT" w:hAnsi="ArialMT" w:cs="ArialMT"/>
          <w:sz w:val="18"/>
          <w:szCs w:val="18"/>
        </w:rPr>
        <w:t>Málaga</w:t>
      </w:r>
      <w:r w:rsidRPr="00C10DC1">
        <w:rPr>
          <w:rFonts w:ascii="ArialMT" w:hAnsi="ArialMT" w:cs="ArialMT"/>
          <w:sz w:val="18"/>
          <w:szCs w:val="18"/>
        </w:rPr>
        <w:t xml:space="preserve">, </w:t>
      </w:r>
      <w:r>
        <w:rPr>
          <w:rFonts w:ascii="ArialMT" w:hAnsi="ArialMT" w:cs="ArialMT"/>
          <w:sz w:val="18"/>
          <w:szCs w:val="18"/>
        </w:rPr>
        <w:t>Málaga</w:t>
      </w:r>
      <w:r w:rsidRPr="00C10DC1">
        <w:rPr>
          <w:rFonts w:ascii="ArialMT" w:hAnsi="ArialMT" w:cs="ArialMT"/>
          <w:sz w:val="18"/>
          <w:szCs w:val="18"/>
        </w:rPr>
        <w:t xml:space="preserve">, </w:t>
      </w:r>
      <w:proofErr w:type="spellStart"/>
      <w:r w:rsidRPr="00C10DC1">
        <w:rPr>
          <w:rFonts w:ascii="ArialMT" w:hAnsi="ArialMT" w:cs="ArialMT"/>
          <w:sz w:val="18"/>
          <w:szCs w:val="18"/>
        </w:rPr>
        <w:t>Spain</w:t>
      </w:r>
      <w:proofErr w:type="spellEnd"/>
      <w:r w:rsidRPr="00C10DC1">
        <w:rPr>
          <w:rFonts w:ascii="ArialMT" w:hAnsi="ArialMT" w:cs="ArialMT"/>
          <w:sz w:val="18"/>
          <w:szCs w:val="18"/>
        </w:rPr>
        <w:t xml:space="preserve">. </w:t>
      </w:r>
    </w:p>
    <w:p w14:paraId="3D774A44" w14:textId="77777777" w:rsidR="00A61719" w:rsidRDefault="00A61719" w:rsidP="00A61719">
      <w:pPr>
        <w:autoSpaceDE w:val="0"/>
        <w:autoSpaceDN w:val="0"/>
        <w:adjustRightInd w:val="0"/>
        <w:spacing w:after="0" w:line="240" w:lineRule="auto"/>
        <w:ind w:left="-284" w:right="-284"/>
        <w:jc w:val="both"/>
        <w:rPr>
          <w:rFonts w:ascii="ArialMT" w:hAnsi="ArialMT" w:cs="ArialMT"/>
          <w:sz w:val="18"/>
          <w:szCs w:val="18"/>
        </w:rPr>
      </w:pPr>
      <w:r w:rsidRPr="004657A8">
        <w:rPr>
          <w:rFonts w:ascii="ArialMT" w:hAnsi="ArialMT" w:cs="ArialMT"/>
          <w:sz w:val="18"/>
          <w:szCs w:val="18"/>
          <w:vertAlign w:val="superscript"/>
        </w:rPr>
        <w:t xml:space="preserve">2 </w:t>
      </w:r>
      <w:proofErr w:type="gramStart"/>
      <w:r>
        <w:rPr>
          <w:rFonts w:ascii="ArialMT" w:hAnsi="ArialMT" w:cs="ArialMT"/>
          <w:sz w:val="18"/>
          <w:szCs w:val="18"/>
        </w:rPr>
        <w:t>Grupo</w:t>
      </w:r>
      <w:proofErr w:type="gramEnd"/>
      <w:r>
        <w:rPr>
          <w:rFonts w:ascii="ArialMT" w:hAnsi="ArialMT" w:cs="ArialMT"/>
          <w:sz w:val="18"/>
          <w:szCs w:val="18"/>
        </w:rPr>
        <w:t xml:space="preserve"> Traslacional de Inmunoterapia del Cáncer, </w:t>
      </w:r>
      <w:r w:rsidRPr="00F03956">
        <w:rPr>
          <w:rFonts w:ascii="ArialMT" w:hAnsi="ArialMT" w:cs="ArialMT"/>
          <w:sz w:val="18"/>
          <w:szCs w:val="18"/>
        </w:rPr>
        <w:t xml:space="preserve">IBIMA Plataforma </w:t>
      </w:r>
      <w:proofErr w:type="spellStart"/>
      <w:r w:rsidRPr="00F03956">
        <w:rPr>
          <w:rFonts w:ascii="ArialMT" w:hAnsi="ArialMT" w:cs="ArialMT"/>
          <w:sz w:val="18"/>
          <w:szCs w:val="18"/>
        </w:rPr>
        <w:t>Bionand</w:t>
      </w:r>
      <w:proofErr w:type="spellEnd"/>
      <w:r w:rsidRPr="00242E6F">
        <w:rPr>
          <w:rFonts w:ascii="ArialMT" w:hAnsi="ArialMT" w:cs="ArialMT"/>
          <w:sz w:val="18"/>
          <w:szCs w:val="18"/>
        </w:rPr>
        <w:t xml:space="preserve">, </w:t>
      </w:r>
      <w:r>
        <w:rPr>
          <w:rFonts w:ascii="ArialMT" w:hAnsi="ArialMT" w:cs="ArialMT"/>
          <w:sz w:val="18"/>
          <w:szCs w:val="18"/>
        </w:rPr>
        <w:t>Málag</w:t>
      </w:r>
      <w:r w:rsidRPr="00242E6F">
        <w:rPr>
          <w:rFonts w:ascii="ArialMT" w:hAnsi="ArialMT" w:cs="ArialMT"/>
          <w:sz w:val="18"/>
          <w:szCs w:val="18"/>
        </w:rPr>
        <w:t xml:space="preserve">a, </w:t>
      </w:r>
      <w:proofErr w:type="spellStart"/>
      <w:r w:rsidRPr="00242E6F">
        <w:rPr>
          <w:rFonts w:ascii="ArialMT" w:hAnsi="ArialMT" w:cs="ArialMT"/>
          <w:sz w:val="18"/>
          <w:szCs w:val="18"/>
        </w:rPr>
        <w:t>Spain</w:t>
      </w:r>
      <w:proofErr w:type="spellEnd"/>
      <w:r>
        <w:rPr>
          <w:rFonts w:ascii="ArialMT" w:hAnsi="ArialMT" w:cs="ArialMT"/>
          <w:sz w:val="18"/>
          <w:szCs w:val="18"/>
        </w:rPr>
        <w:t>.</w:t>
      </w:r>
    </w:p>
    <w:p w14:paraId="2468D624" w14:textId="77777777" w:rsidR="00A61719" w:rsidRDefault="00A61719" w:rsidP="00A61719">
      <w:pPr>
        <w:autoSpaceDE w:val="0"/>
        <w:autoSpaceDN w:val="0"/>
        <w:adjustRightInd w:val="0"/>
        <w:spacing w:after="0" w:line="240" w:lineRule="auto"/>
        <w:ind w:left="-284" w:right="-284"/>
        <w:jc w:val="both"/>
        <w:rPr>
          <w:rFonts w:ascii="ArialMT" w:hAnsi="ArialMT" w:cs="ArialMT"/>
          <w:sz w:val="18"/>
          <w:szCs w:val="18"/>
        </w:rPr>
      </w:pPr>
      <w:r w:rsidRPr="00A7166E">
        <w:rPr>
          <w:rFonts w:ascii="ArialMT" w:hAnsi="ArialMT" w:cs="ArialMT"/>
          <w:sz w:val="18"/>
          <w:szCs w:val="18"/>
          <w:vertAlign w:val="superscript"/>
        </w:rPr>
        <w:t>3</w:t>
      </w:r>
      <w:r>
        <w:rPr>
          <w:rFonts w:ascii="ArialMT" w:hAnsi="ArialMT" w:cs="ArialMT"/>
          <w:sz w:val="18"/>
          <w:szCs w:val="18"/>
        </w:rPr>
        <w:t xml:space="preserve"> </w:t>
      </w:r>
      <w:proofErr w:type="spellStart"/>
      <w:r>
        <w:rPr>
          <w:rFonts w:ascii="ArialMT" w:hAnsi="ArialMT" w:cs="ArialMT"/>
          <w:sz w:val="18"/>
          <w:szCs w:val="18"/>
        </w:rPr>
        <w:t>Institut</w:t>
      </w:r>
      <w:proofErr w:type="spellEnd"/>
      <w:r>
        <w:rPr>
          <w:rFonts w:ascii="ArialMT" w:hAnsi="ArialMT" w:cs="ArialMT"/>
          <w:sz w:val="18"/>
          <w:szCs w:val="18"/>
        </w:rPr>
        <w:t xml:space="preserve"> </w:t>
      </w:r>
      <w:proofErr w:type="spellStart"/>
      <w:r>
        <w:rPr>
          <w:rFonts w:ascii="ArialMT" w:hAnsi="ArialMT" w:cs="ArialMT"/>
          <w:sz w:val="18"/>
          <w:szCs w:val="18"/>
        </w:rPr>
        <w:t>National</w:t>
      </w:r>
      <w:proofErr w:type="spellEnd"/>
      <w:r>
        <w:rPr>
          <w:rFonts w:ascii="ArialMT" w:hAnsi="ArialMT" w:cs="ArialMT"/>
          <w:sz w:val="18"/>
          <w:szCs w:val="18"/>
        </w:rPr>
        <w:t xml:space="preserve"> de la </w:t>
      </w:r>
      <w:proofErr w:type="spellStart"/>
      <w:r>
        <w:rPr>
          <w:rFonts w:ascii="ArialMT" w:hAnsi="ArialMT" w:cs="ArialMT"/>
          <w:sz w:val="18"/>
          <w:szCs w:val="18"/>
        </w:rPr>
        <w:t>Santé</w:t>
      </w:r>
      <w:proofErr w:type="spellEnd"/>
      <w:r>
        <w:rPr>
          <w:rFonts w:ascii="ArialMT" w:hAnsi="ArialMT" w:cs="ArialMT"/>
          <w:sz w:val="18"/>
          <w:szCs w:val="18"/>
        </w:rPr>
        <w:t xml:space="preserve"> et de la </w:t>
      </w:r>
      <w:proofErr w:type="spellStart"/>
      <w:r>
        <w:rPr>
          <w:rFonts w:ascii="ArialMT" w:hAnsi="ArialMT" w:cs="ArialMT"/>
          <w:sz w:val="18"/>
          <w:szCs w:val="18"/>
        </w:rPr>
        <w:t>Recherche</w:t>
      </w:r>
      <w:proofErr w:type="spellEnd"/>
      <w:r>
        <w:rPr>
          <w:rFonts w:ascii="ArialMT" w:hAnsi="ArialMT" w:cs="ArialMT"/>
          <w:sz w:val="18"/>
          <w:szCs w:val="18"/>
        </w:rPr>
        <w:t xml:space="preserve"> </w:t>
      </w:r>
      <w:proofErr w:type="spellStart"/>
      <w:r>
        <w:rPr>
          <w:rFonts w:ascii="ArialMT" w:hAnsi="ArialMT" w:cs="ArialMT"/>
          <w:sz w:val="18"/>
          <w:szCs w:val="18"/>
        </w:rPr>
        <w:t>Médicale</w:t>
      </w:r>
      <w:proofErr w:type="spellEnd"/>
      <w:r>
        <w:rPr>
          <w:rFonts w:ascii="ArialMT" w:hAnsi="ArialMT" w:cs="ArialMT"/>
          <w:sz w:val="18"/>
          <w:szCs w:val="18"/>
        </w:rPr>
        <w:t xml:space="preserve"> (INSERM), Lille, France.</w:t>
      </w:r>
    </w:p>
    <w:p w14:paraId="64EBE8D6" w14:textId="77777777" w:rsidR="00A61719" w:rsidRPr="004657A8" w:rsidRDefault="00A61719" w:rsidP="00A61719">
      <w:pPr>
        <w:autoSpaceDE w:val="0"/>
        <w:autoSpaceDN w:val="0"/>
        <w:adjustRightInd w:val="0"/>
        <w:spacing w:after="0" w:line="240" w:lineRule="auto"/>
        <w:ind w:left="-284" w:right="-284"/>
        <w:jc w:val="both"/>
        <w:rPr>
          <w:rFonts w:ascii="ArialMT" w:hAnsi="ArialMT" w:cs="ArialMT"/>
          <w:sz w:val="18"/>
          <w:szCs w:val="18"/>
        </w:rPr>
      </w:pPr>
      <w:r w:rsidRPr="00A7166E">
        <w:rPr>
          <w:vertAlign w:val="superscript"/>
        </w:rPr>
        <w:t>4</w:t>
      </w:r>
      <w:r w:rsidRPr="00A7166E">
        <w:t xml:space="preserve"> </w:t>
      </w:r>
      <w:proofErr w:type="gramStart"/>
      <w:r w:rsidRPr="00A7166E">
        <w:rPr>
          <w:rFonts w:ascii="ArialMT" w:hAnsi="ArialMT" w:cs="ArialMT"/>
          <w:sz w:val="18"/>
          <w:szCs w:val="18"/>
        </w:rPr>
        <w:t>Instituto</w:t>
      </w:r>
      <w:proofErr w:type="gramEnd"/>
      <w:r w:rsidRPr="00A7166E">
        <w:rPr>
          <w:rFonts w:ascii="ArialMT" w:hAnsi="ArialMT" w:cs="ArialMT"/>
          <w:sz w:val="18"/>
          <w:szCs w:val="18"/>
        </w:rPr>
        <w:t xml:space="preserve"> de Inmunología Clínica y Experimental de Rosario IDICER-CONICET, Argentina.</w:t>
      </w:r>
      <w:r>
        <w:rPr>
          <w:rFonts w:ascii="ArialMT" w:hAnsi="ArialMT" w:cs="ArialMT"/>
          <w:sz w:val="18"/>
          <w:szCs w:val="18"/>
        </w:rPr>
        <w:t xml:space="preserve"> </w:t>
      </w:r>
      <w:r w:rsidRPr="00A7166E">
        <w:rPr>
          <w:rFonts w:ascii="ArialMT" w:hAnsi="ArialMT" w:cs="ArialMT"/>
          <w:sz w:val="18"/>
          <w:szCs w:val="18"/>
        </w:rPr>
        <w:t>Facultad de Ciencias Médicas, UNR, Argentina</w:t>
      </w:r>
    </w:p>
    <w:p w14:paraId="2575C5B1" w14:textId="136684E5" w:rsidR="00A61719" w:rsidRDefault="00A61719" w:rsidP="00A61719">
      <w:pPr>
        <w:autoSpaceDE w:val="0"/>
        <w:autoSpaceDN w:val="0"/>
        <w:adjustRightInd w:val="0"/>
        <w:spacing w:after="0" w:line="240" w:lineRule="auto"/>
        <w:ind w:left="-284" w:right="-284"/>
        <w:jc w:val="both"/>
        <w:rPr>
          <w:rFonts w:ascii="ArialMT" w:hAnsi="ArialMT" w:cs="ArialMT"/>
          <w:sz w:val="18"/>
          <w:szCs w:val="18"/>
        </w:rPr>
      </w:pPr>
      <w:r>
        <w:rPr>
          <w:rFonts w:ascii="ArialMT" w:hAnsi="ArialMT" w:cs="ArialMT"/>
          <w:sz w:val="18"/>
          <w:szCs w:val="18"/>
          <w:vertAlign w:val="superscript"/>
        </w:rPr>
        <w:t>5</w:t>
      </w:r>
      <w:r>
        <w:rPr>
          <w:rFonts w:ascii="ArialMT" w:hAnsi="ArialMT" w:cs="ArialMT"/>
          <w:sz w:val="18"/>
          <w:szCs w:val="18"/>
        </w:rPr>
        <w:t xml:space="preserve"> </w:t>
      </w:r>
      <w:r w:rsidRPr="00F03956">
        <w:rPr>
          <w:rFonts w:ascii="ArialMT" w:hAnsi="ArialMT" w:cs="ArialMT"/>
          <w:sz w:val="18"/>
          <w:szCs w:val="18"/>
        </w:rPr>
        <w:t xml:space="preserve">IBIMA Plataforma </w:t>
      </w:r>
      <w:proofErr w:type="spellStart"/>
      <w:r w:rsidRPr="00F03956">
        <w:rPr>
          <w:rFonts w:ascii="ArialMT" w:hAnsi="ArialMT" w:cs="ArialMT"/>
          <w:sz w:val="18"/>
          <w:szCs w:val="18"/>
        </w:rPr>
        <w:t>Bionand</w:t>
      </w:r>
      <w:proofErr w:type="spellEnd"/>
      <w:r w:rsidRPr="00242E6F">
        <w:rPr>
          <w:rFonts w:ascii="ArialMT" w:hAnsi="ArialMT" w:cs="ArialMT"/>
          <w:sz w:val="18"/>
          <w:szCs w:val="18"/>
        </w:rPr>
        <w:t xml:space="preserve">, </w:t>
      </w:r>
      <w:r>
        <w:rPr>
          <w:rFonts w:ascii="ArialMT" w:hAnsi="ArialMT" w:cs="ArialMT"/>
          <w:sz w:val="18"/>
          <w:szCs w:val="18"/>
        </w:rPr>
        <w:t>Málag</w:t>
      </w:r>
      <w:r w:rsidRPr="00242E6F">
        <w:rPr>
          <w:rFonts w:ascii="ArialMT" w:hAnsi="ArialMT" w:cs="ArialMT"/>
          <w:sz w:val="18"/>
          <w:szCs w:val="18"/>
        </w:rPr>
        <w:t xml:space="preserve">a, </w:t>
      </w:r>
      <w:proofErr w:type="spellStart"/>
      <w:r w:rsidRPr="00242E6F">
        <w:rPr>
          <w:rFonts w:ascii="ArialMT" w:hAnsi="ArialMT" w:cs="ArialMT"/>
          <w:sz w:val="18"/>
          <w:szCs w:val="18"/>
        </w:rPr>
        <w:t>Spain</w:t>
      </w:r>
      <w:proofErr w:type="spellEnd"/>
      <w:r>
        <w:rPr>
          <w:rFonts w:ascii="ArialMT" w:hAnsi="ArialMT" w:cs="ArialMT"/>
          <w:sz w:val="18"/>
          <w:szCs w:val="18"/>
        </w:rPr>
        <w:t>.</w:t>
      </w:r>
    </w:p>
    <w:p w14:paraId="223EE0AA" w14:textId="77777777" w:rsidR="00A61719" w:rsidRDefault="00A61719" w:rsidP="0084279F">
      <w:pPr>
        <w:pStyle w:val="NormalWeb"/>
        <w:spacing w:before="0" w:beforeAutospacing="0" w:after="0" w:afterAutospacing="0"/>
        <w:ind w:left="-284" w:right="-285"/>
        <w:jc w:val="both"/>
        <w:rPr>
          <w:rFonts w:ascii="ArialMT" w:hAnsi="ArialMT" w:cs="Arial"/>
          <w:bCs/>
          <w:sz w:val="21"/>
          <w:szCs w:val="21"/>
          <w:lang w:val="en-US"/>
        </w:rPr>
      </w:pPr>
    </w:p>
    <w:p w14:paraId="5A235981" w14:textId="226DFFBB" w:rsidR="00A61719" w:rsidRPr="00382EF0" w:rsidRDefault="00A61719" w:rsidP="00A61719">
      <w:pPr>
        <w:autoSpaceDE w:val="0"/>
        <w:autoSpaceDN w:val="0"/>
        <w:adjustRightInd w:val="0"/>
        <w:spacing w:after="0" w:line="240" w:lineRule="auto"/>
        <w:ind w:left="-284" w:right="-284"/>
        <w:jc w:val="both"/>
        <w:rPr>
          <w:rFonts w:ascii="Arial" w:hAnsi="Arial" w:cs="Arial"/>
          <w:bCs/>
          <w:lang w:val="en-US"/>
        </w:rPr>
      </w:pPr>
      <w:r w:rsidRPr="00382EF0">
        <w:rPr>
          <w:rFonts w:ascii="Arial" w:hAnsi="Arial" w:cs="Arial"/>
          <w:b/>
          <w:bCs/>
          <w:noProof/>
        </w:rPr>
        <w:drawing>
          <wp:anchor distT="0" distB="0" distL="114300" distR="114300" simplePos="0" relativeHeight="251659264" behindDoc="0" locked="0" layoutInCell="1" allowOverlap="1" wp14:anchorId="0ABF754F" wp14:editId="1C8B3491">
            <wp:simplePos x="0" y="0"/>
            <wp:positionH relativeFrom="column">
              <wp:posOffset>3339465</wp:posOffset>
            </wp:positionH>
            <wp:positionV relativeFrom="paragraph">
              <wp:posOffset>2200910</wp:posOffset>
            </wp:positionV>
            <wp:extent cx="2152650" cy="1613535"/>
            <wp:effectExtent l="0" t="0" r="0" b="5715"/>
            <wp:wrapSquare wrapText="bothSides"/>
            <wp:docPr id="8" name="Marcador de contenido 4">
              <a:extLst xmlns:a="http://schemas.openxmlformats.org/drawingml/2006/main">
                <a:ext uri="{FF2B5EF4-FFF2-40B4-BE49-F238E27FC236}">
                  <a16:creationId xmlns:a16="http://schemas.microsoft.com/office/drawing/2014/main" id="{79A27B2D-FE00-4BF7-B34C-FDD21126B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rcador de contenido 4">
                      <a:extLst>
                        <a:ext uri="{FF2B5EF4-FFF2-40B4-BE49-F238E27FC236}">
                          <a16:creationId xmlns:a16="http://schemas.microsoft.com/office/drawing/2014/main" id="{79A27B2D-FE00-4BF7-B34C-FDD21126B16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650" cy="1613535"/>
                    </a:xfrm>
                    <a:prstGeom prst="rect">
                      <a:avLst/>
                    </a:prstGeom>
                  </pic:spPr>
                </pic:pic>
              </a:graphicData>
            </a:graphic>
            <wp14:sizeRelH relativeFrom="page">
              <wp14:pctWidth>0</wp14:pctWidth>
            </wp14:sizeRelH>
            <wp14:sizeRelV relativeFrom="page">
              <wp14:pctHeight>0</wp14:pctHeight>
            </wp14:sizeRelV>
          </wp:anchor>
        </w:drawing>
      </w:r>
      <w:r w:rsidRPr="00382EF0">
        <w:rPr>
          <w:rFonts w:ascii="Arial" w:hAnsi="Arial" w:cs="Arial"/>
          <w:b/>
          <w:bCs/>
          <w:lang w:val="en-US"/>
        </w:rPr>
        <w:t>Introduction</w:t>
      </w:r>
      <w:r w:rsidRPr="00382EF0">
        <w:rPr>
          <w:rFonts w:ascii="Arial" w:hAnsi="Arial" w:cs="Arial"/>
          <w:bCs/>
          <w:lang w:val="en-US"/>
        </w:rPr>
        <w:t xml:space="preserve">: Tertiary lymphoid structures (TLS) comprise aggregates of immune cells, notably B lymphocytes, within a network of fibroblasts interacting with T lymphocyte areas. These structures facilitate direct communication with neoantigens, enabling dendritic cells to interact with activate T lymphocytes. Positioned precisely where pathology </w:t>
      </w:r>
      <w:r w:rsidR="00382EF0" w:rsidRPr="00382EF0">
        <w:rPr>
          <w:rFonts w:ascii="Arial" w:hAnsi="Arial" w:cs="Arial"/>
          <w:bCs/>
          <w:lang w:val="en-US"/>
        </w:rPr>
        <w:t xml:space="preserve">takes </w:t>
      </w:r>
      <w:r w:rsidRPr="00382EF0">
        <w:rPr>
          <w:rFonts w:ascii="Arial" w:hAnsi="Arial" w:cs="Arial"/>
          <w:bCs/>
          <w:lang w:val="en-US"/>
        </w:rPr>
        <w:t>develop</w:t>
      </w:r>
      <w:r w:rsidR="00382EF0" w:rsidRPr="00382EF0">
        <w:rPr>
          <w:rFonts w:ascii="Arial" w:hAnsi="Arial" w:cs="Arial"/>
          <w:bCs/>
          <w:lang w:val="en-US"/>
        </w:rPr>
        <w:t>ment</w:t>
      </w:r>
      <w:r w:rsidRPr="00382EF0">
        <w:rPr>
          <w:rFonts w:ascii="Arial" w:hAnsi="Arial" w:cs="Arial"/>
          <w:bCs/>
          <w:lang w:val="en-US"/>
        </w:rPr>
        <w:t xml:space="preserve">, TLS hold significant importance in disease pathogenesis. In neoplastic diseases, a positive correlation with subsequent immunotherapy response has been observed. Conversely, in autoimmune diseases </w:t>
      </w:r>
      <w:r w:rsidR="00382EF0" w:rsidRPr="00382EF0">
        <w:rPr>
          <w:rFonts w:ascii="Arial" w:hAnsi="Arial" w:cs="Arial"/>
          <w:bCs/>
          <w:lang w:val="en-US"/>
        </w:rPr>
        <w:t>such as</w:t>
      </w:r>
      <w:r w:rsidRPr="00382EF0">
        <w:rPr>
          <w:rFonts w:ascii="Arial" w:hAnsi="Arial" w:cs="Arial"/>
          <w:bCs/>
          <w:lang w:val="en-US"/>
        </w:rPr>
        <w:t xml:space="preserve"> Type I diabetes mellitus, </w:t>
      </w:r>
      <w:r w:rsidR="00382EF0" w:rsidRPr="00382EF0">
        <w:rPr>
          <w:rFonts w:ascii="Arial" w:hAnsi="Arial" w:cs="Arial"/>
          <w:bCs/>
          <w:lang w:val="en-US"/>
        </w:rPr>
        <w:t xml:space="preserve">the </w:t>
      </w:r>
      <w:r w:rsidRPr="00382EF0">
        <w:rPr>
          <w:rFonts w:ascii="Arial" w:hAnsi="Arial" w:cs="Arial"/>
          <w:bCs/>
          <w:lang w:val="en-US"/>
        </w:rPr>
        <w:t>stimulation and formation of these structures lead to increased production of auto</w:t>
      </w:r>
      <w:r w:rsidR="00382EF0" w:rsidRPr="00382EF0">
        <w:rPr>
          <w:rFonts w:ascii="Arial" w:hAnsi="Arial" w:cs="Arial"/>
          <w:bCs/>
          <w:lang w:val="en-US"/>
        </w:rPr>
        <w:t>-</w:t>
      </w:r>
      <w:r w:rsidRPr="00382EF0">
        <w:rPr>
          <w:rFonts w:ascii="Arial" w:hAnsi="Arial" w:cs="Arial"/>
          <w:bCs/>
          <w:lang w:val="en-US"/>
        </w:rPr>
        <w:t xml:space="preserve">antibodies and subsequent tissue damage. Despite the fact that there are autoimmune pathologies in which these structures have been extensively described, </w:t>
      </w:r>
      <w:r w:rsidR="00382EF0" w:rsidRPr="00382EF0">
        <w:rPr>
          <w:rFonts w:ascii="Arial" w:hAnsi="Arial" w:cs="Arial"/>
          <w:bCs/>
          <w:lang w:val="en-US"/>
        </w:rPr>
        <w:t>i</w:t>
      </w:r>
      <w:r w:rsidRPr="00382EF0">
        <w:rPr>
          <w:rFonts w:ascii="Arial" w:hAnsi="Arial" w:cs="Arial"/>
          <w:bCs/>
          <w:lang w:val="en-US"/>
        </w:rPr>
        <w:t xml:space="preserve">n the case of Type I diabetes mellitus, there are still many unanswered </w:t>
      </w:r>
      <w:proofErr w:type="spellStart"/>
      <w:proofErr w:type="gramStart"/>
      <w:r w:rsidRPr="00382EF0">
        <w:rPr>
          <w:rFonts w:ascii="Arial" w:hAnsi="Arial" w:cs="Arial"/>
          <w:bCs/>
          <w:lang w:val="en-US"/>
        </w:rPr>
        <w:t>questions.The</w:t>
      </w:r>
      <w:proofErr w:type="spellEnd"/>
      <w:proofErr w:type="gramEnd"/>
      <w:r w:rsidRPr="00382EF0">
        <w:rPr>
          <w:rFonts w:ascii="Arial" w:hAnsi="Arial" w:cs="Arial"/>
          <w:bCs/>
          <w:lang w:val="en-US"/>
        </w:rPr>
        <w:t xml:space="preserve"> non-obese diabetic (NOD) mouse model is extensively used to study Type I diabetes mellitus. In these mice, </w:t>
      </w:r>
      <w:r w:rsidR="00382EF0" w:rsidRPr="00382EF0">
        <w:rPr>
          <w:rFonts w:ascii="Arial" w:hAnsi="Arial" w:cs="Arial"/>
          <w:bCs/>
          <w:lang w:val="en-US"/>
        </w:rPr>
        <w:t>the disease</w:t>
      </w:r>
      <w:r w:rsidRPr="00382EF0">
        <w:rPr>
          <w:rFonts w:ascii="Arial" w:hAnsi="Arial" w:cs="Arial"/>
          <w:bCs/>
          <w:lang w:val="en-US"/>
        </w:rPr>
        <w:t xml:space="preserve"> develops due to leukocyte infiltration into pancreatic islets, resulting in </w:t>
      </w:r>
      <w:proofErr w:type="spellStart"/>
      <w:r w:rsidRPr="00382EF0">
        <w:rPr>
          <w:rFonts w:ascii="Arial" w:hAnsi="Arial" w:cs="Arial"/>
          <w:bCs/>
          <w:lang w:val="en-US"/>
        </w:rPr>
        <w:t>insulinitis</w:t>
      </w:r>
      <w:proofErr w:type="spellEnd"/>
      <w:r w:rsidRPr="00382EF0">
        <w:rPr>
          <w:rFonts w:ascii="Arial" w:hAnsi="Arial" w:cs="Arial"/>
          <w:bCs/>
          <w:lang w:val="en-US"/>
        </w:rPr>
        <w:t xml:space="preserve">, thus allowing the study of pathogenesis and its extrapolation to human conditions. </w:t>
      </w:r>
    </w:p>
    <w:p w14:paraId="0632F340" w14:textId="0F5B6148" w:rsidR="00A61719" w:rsidRPr="00382EF0" w:rsidRDefault="00A61719" w:rsidP="00A61719">
      <w:pPr>
        <w:autoSpaceDE w:val="0"/>
        <w:autoSpaceDN w:val="0"/>
        <w:adjustRightInd w:val="0"/>
        <w:spacing w:after="0" w:line="240" w:lineRule="auto"/>
        <w:ind w:left="-284" w:right="-284"/>
        <w:jc w:val="both"/>
        <w:rPr>
          <w:rFonts w:ascii="Arial" w:hAnsi="Arial" w:cs="Arial"/>
          <w:bCs/>
          <w:lang w:val="en-US"/>
        </w:rPr>
      </w:pPr>
      <w:r w:rsidRPr="00382EF0">
        <w:rPr>
          <w:noProof/>
        </w:rPr>
        <mc:AlternateContent>
          <mc:Choice Requires="wps">
            <w:drawing>
              <wp:anchor distT="0" distB="0" distL="114300" distR="114300" simplePos="0" relativeHeight="251660288" behindDoc="0" locked="0" layoutInCell="1" allowOverlap="1" wp14:anchorId="2F4E497D" wp14:editId="3579F6E2">
                <wp:simplePos x="0" y="0"/>
                <wp:positionH relativeFrom="column">
                  <wp:posOffset>3253740</wp:posOffset>
                </wp:positionH>
                <wp:positionV relativeFrom="paragraph">
                  <wp:posOffset>1600200</wp:posOffset>
                </wp:positionV>
                <wp:extent cx="2219325" cy="476250"/>
                <wp:effectExtent l="0" t="0" r="9525"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2219325" cy="476250"/>
                        </a:xfrm>
                        <a:prstGeom prst="rect">
                          <a:avLst/>
                        </a:prstGeom>
                        <a:solidFill>
                          <a:prstClr val="white"/>
                        </a:solidFill>
                        <a:ln>
                          <a:noFill/>
                        </a:ln>
                      </wps:spPr>
                      <wps:txbx>
                        <w:txbxContent>
                          <w:p w14:paraId="7A1C1966" w14:textId="5D8237A4" w:rsidR="00A61719" w:rsidRPr="00A7166E" w:rsidRDefault="00A61719" w:rsidP="00A61719">
                            <w:pPr>
                              <w:pStyle w:val="Descripcin"/>
                              <w:jc w:val="both"/>
                              <w:rPr>
                                <w:rFonts w:ascii="Arial" w:hAnsi="Arial" w:cs="Arial"/>
                                <w:b/>
                                <w:bCs/>
                                <w:color w:val="auto"/>
                              </w:rPr>
                            </w:pPr>
                            <w:r w:rsidRPr="00A7166E">
                              <w:rPr>
                                <w:color w:val="auto"/>
                              </w:rPr>
                              <w:t xml:space="preserve">Figure </w:t>
                            </w:r>
                            <w:r w:rsidRPr="00A7166E">
                              <w:rPr>
                                <w:color w:val="auto"/>
                              </w:rPr>
                              <w:fldChar w:fldCharType="begin"/>
                            </w:r>
                            <w:r w:rsidRPr="00A7166E">
                              <w:rPr>
                                <w:color w:val="auto"/>
                              </w:rPr>
                              <w:instrText xml:space="preserve"> SEQ Figure \* ARABIC </w:instrText>
                            </w:r>
                            <w:r w:rsidRPr="00A7166E">
                              <w:rPr>
                                <w:color w:val="auto"/>
                              </w:rPr>
                              <w:fldChar w:fldCharType="separate"/>
                            </w:r>
                            <w:r w:rsidR="00945B84">
                              <w:rPr>
                                <w:noProof/>
                                <w:color w:val="auto"/>
                              </w:rPr>
                              <w:t>1</w:t>
                            </w:r>
                            <w:r w:rsidRPr="00A7166E">
                              <w:rPr>
                                <w:color w:val="auto"/>
                              </w:rPr>
                              <w:fldChar w:fldCharType="end"/>
                            </w:r>
                            <w:r w:rsidRPr="00A7166E">
                              <w:rPr>
                                <w:color w:val="auto"/>
                              </w:rPr>
                              <w:t xml:space="preserve">. </w:t>
                            </w:r>
                            <w:proofErr w:type="spellStart"/>
                            <w:r w:rsidRPr="00A7166E">
                              <w:rPr>
                                <w:color w:val="auto"/>
                              </w:rPr>
                              <w:t>Moderate</w:t>
                            </w:r>
                            <w:proofErr w:type="spellEnd"/>
                            <w:r w:rsidRPr="00A7166E">
                              <w:rPr>
                                <w:color w:val="auto"/>
                              </w:rPr>
                              <w:t xml:space="preserve"> </w:t>
                            </w:r>
                            <w:proofErr w:type="spellStart"/>
                            <w:r w:rsidRPr="00A7166E">
                              <w:rPr>
                                <w:color w:val="auto"/>
                              </w:rPr>
                              <w:t>to</w:t>
                            </w:r>
                            <w:proofErr w:type="spellEnd"/>
                            <w:r w:rsidRPr="00A7166E">
                              <w:rPr>
                                <w:color w:val="auto"/>
                              </w:rPr>
                              <w:t xml:space="preserve"> </w:t>
                            </w:r>
                            <w:proofErr w:type="spellStart"/>
                            <w:r w:rsidRPr="00A7166E">
                              <w:rPr>
                                <w:color w:val="auto"/>
                              </w:rPr>
                              <w:t>severe</w:t>
                            </w:r>
                            <w:proofErr w:type="spellEnd"/>
                            <w:r w:rsidRPr="00A7166E">
                              <w:rPr>
                                <w:color w:val="auto"/>
                              </w:rPr>
                              <w:t xml:space="preserve"> </w:t>
                            </w:r>
                            <w:proofErr w:type="spellStart"/>
                            <w:r w:rsidRPr="00A7166E">
                              <w:rPr>
                                <w:color w:val="auto"/>
                              </w:rPr>
                              <w:t>inflammatory</w:t>
                            </w:r>
                            <w:proofErr w:type="spellEnd"/>
                            <w:r w:rsidRPr="00A7166E">
                              <w:rPr>
                                <w:color w:val="auto"/>
                              </w:rPr>
                              <w:t xml:space="preserve"> </w:t>
                            </w:r>
                            <w:proofErr w:type="spellStart"/>
                            <w:r w:rsidRPr="00A7166E">
                              <w:rPr>
                                <w:color w:val="auto"/>
                              </w:rPr>
                              <w:t>infiltration</w:t>
                            </w:r>
                            <w:proofErr w:type="spellEnd"/>
                            <w:r w:rsidRPr="00A7166E">
                              <w:rPr>
                                <w:color w:val="auto"/>
                              </w:rPr>
                              <w:t xml:space="preserve"> in </w:t>
                            </w:r>
                            <w:proofErr w:type="spellStart"/>
                            <w:r w:rsidRPr="00A7166E">
                              <w:rPr>
                                <w:color w:val="auto"/>
                              </w:rPr>
                              <w:t>the</w:t>
                            </w:r>
                            <w:proofErr w:type="spellEnd"/>
                            <w:r w:rsidRPr="00A7166E">
                              <w:rPr>
                                <w:color w:val="auto"/>
                              </w:rPr>
                              <w:t xml:space="preserve"> </w:t>
                            </w:r>
                            <w:proofErr w:type="spellStart"/>
                            <w:r w:rsidRPr="00A7166E">
                              <w:rPr>
                                <w:color w:val="auto"/>
                              </w:rPr>
                              <w:t>islet</w:t>
                            </w:r>
                            <w:proofErr w:type="spellEnd"/>
                            <w:r w:rsidRPr="00A7166E">
                              <w:rPr>
                                <w:color w:val="auto"/>
                              </w:rPr>
                              <w:t xml:space="preserve"> </w:t>
                            </w:r>
                            <w:proofErr w:type="spellStart"/>
                            <w:r w:rsidRPr="00A7166E">
                              <w:rPr>
                                <w:color w:val="auto"/>
                              </w:rPr>
                              <w:t>of</w:t>
                            </w:r>
                            <w:proofErr w:type="spellEnd"/>
                            <w:r w:rsidRPr="00A7166E">
                              <w:rPr>
                                <w:color w:val="auto"/>
                              </w:rPr>
                              <w:t xml:space="preserve"> Langerhans </w:t>
                            </w:r>
                            <w:proofErr w:type="spellStart"/>
                            <w:r w:rsidRPr="00A7166E">
                              <w:rPr>
                                <w:color w:val="auto"/>
                              </w:rPr>
                              <w:t>of</w:t>
                            </w:r>
                            <w:proofErr w:type="spellEnd"/>
                            <w:r w:rsidRPr="00A7166E">
                              <w:rPr>
                                <w:color w:val="auto"/>
                              </w:rPr>
                              <w:t xml:space="preserve"> NOD mouse at 11 </w:t>
                            </w:r>
                            <w:proofErr w:type="spellStart"/>
                            <w:r w:rsidRPr="00A7166E">
                              <w:rPr>
                                <w:color w:val="auto"/>
                              </w:rPr>
                              <w:t>weeks</w:t>
                            </w:r>
                            <w:proofErr w:type="spellEnd"/>
                            <w:r w:rsidRPr="00A7166E">
                              <w:rPr>
                                <w:color w:val="auto"/>
                              </w:rPr>
                              <w:t xml:space="preserve"> </w:t>
                            </w:r>
                            <w:proofErr w:type="spellStart"/>
                            <w:r w:rsidRPr="00A7166E">
                              <w:rPr>
                                <w:color w:val="auto"/>
                              </w:rPr>
                              <w:t>of</w:t>
                            </w:r>
                            <w:proofErr w:type="spellEnd"/>
                            <w:r w:rsidRPr="00A7166E">
                              <w:rPr>
                                <w:color w:val="auto"/>
                              </w:rPr>
                              <w:t xml:space="preserve"> </w:t>
                            </w:r>
                            <w:proofErr w:type="spellStart"/>
                            <w:r w:rsidRPr="00A7166E">
                              <w:rPr>
                                <w:color w:val="auto"/>
                              </w:rPr>
                              <w:t>age</w:t>
                            </w:r>
                            <w:proofErr w:type="spellEnd"/>
                            <w:r w:rsidRPr="00A7166E">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E497D" id="_x0000_t202" coordsize="21600,21600" o:spt="202" path="m,l,21600r21600,l21600,xe">
                <v:stroke joinstyle="miter"/>
                <v:path gradientshapeok="t" o:connecttype="rect"/>
              </v:shapetype>
              <v:shape id="Cuadro de texto 7" o:spid="_x0000_s1026" type="#_x0000_t202" style="position:absolute;left:0;text-align:left;margin-left:256.2pt;margin-top:126pt;width:174.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" stroked="f">
                <v:textbox inset="0,0,0,0">
                  <w:txbxContent>
                    <w:p w14:paraId="7A1C1966" w14:textId="5D8237A4" w:rsidR="00A61719" w:rsidRPr="00A7166E" w:rsidRDefault="00A61719" w:rsidP="00A61719">
                      <w:pPr>
                        <w:pStyle w:val="Descripcin"/>
                        <w:jc w:val="both"/>
                        <w:rPr>
                          <w:rFonts w:ascii="Arial" w:hAnsi="Arial" w:cs="Arial"/>
                          <w:b/>
                          <w:bCs/>
                          <w:color w:val="auto"/>
                        </w:rPr>
                      </w:pPr>
                      <w:r w:rsidRPr="00A7166E">
                        <w:rPr>
                          <w:color w:val="auto"/>
                        </w:rPr>
                        <w:t xml:space="preserve">Figure </w:t>
                      </w:r>
                      <w:r w:rsidRPr="00A7166E">
                        <w:rPr>
                          <w:color w:val="auto"/>
                        </w:rPr>
                        <w:fldChar w:fldCharType="begin"/>
                      </w:r>
                      <w:r w:rsidRPr="00A7166E">
                        <w:rPr>
                          <w:color w:val="auto"/>
                        </w:rPr>
                        <w:instrText xml:space="preserve"> SEQ Figure \* ARABIC </w:instrText>
                      </w:r>
                      <w:r w:rsidRPr="00A7166E">
                        <w:rPr>
                          <w:color w:val="auto"/>
                        </w:rPr>
                        <w:fldChar w:fldCharType="separate"/>
                      </w:r>
                      <w:r w:rsidR="00945B84">
                        <w:rPr>
                          <w:noProof/>
                          <w:color w:val="auto"/>
                        </w:rPr>
                        <w:t>1</w:t>
                      </w:r>
                      <w:r w:rsidRPr="00A7166E">
                        <w:rPr>
                          <w:color w:val="auto"/>
                        </w:rPr>
                        <w:fldChar w:fldCharType="end"/>
                      </w:r>
                      <w:r w:rsidRPr="00A7166E">
                        <w:rPr>
                          <w:color w:val="auto"/>
                        </w:rPr>
                        <w:t xml:space="preserve">. </w:t>
                      </w:r>
                      <w:proofErr w:type="spellStart"/>
                      <w:r w:rsidRPr="00A7166E">
                        <w:rPr>
                          <w:color w:val="auto"/>
                        </w:rPr>
                        <w:t>Moderate</w:t>
                      </w:r>
                      <w:proofErr w:type="spellEnd"/>
                      <w:r w:rsidRPr="00A7166E">
                        <w:rPr>
                          <w:color w:val="auto"/>
                        </w:rPr>
                        <w:t xml:space="preserve"> </w:t>
                      </w:r>
                      <w:proofErr w:type="spellStart"/>
                      <w:r w:rsidRPr="00A7166E">
                        <w:rPr>
                          <w:color w:val="auto"/>
                        </w:rPr>
                        <w:t>to</w:t>
                      </w:r>
                      <w:proofErr w:type="spellEnd"/>
                      <w:r w:rsidRPr="00A7166E">
                        <w:rPr>
                          <w:color w:val="auto"/>
                        </w:rPr>
                        <w:t xml:space="preserve"> </w:t>
                      </w:r>
                      <w:proofErr w:type="spellStart"/>
                      <w:r w:rsidRPr="00A7166E">
                        <w:rPr>
                          <w:color w:val="auto"/>
                        </w:rPr>
                        <w:t>severe</w:t>
                      </w:r>
                      <w:proofErr w:type="spellEnd"/>
                      <w:r w:rsidRPr="00A7166E">
                        <w:rPr>
                          <w:color w:val="auto"/>
                        </w:rPr>
                        <w:t xml:space="preserve"> </w:t>
                      </w:r>
                      <w:proofErr w:type="spellStart"/>
                      <w:r w:rsidRPr="00A7166E">
                        <w:rPr>
                          <w:color w:val="auto"/>
                        </w:rPr>
                        <w:t>inflammatory</w:t>
                      </w:r>
                      <w:proofErr w:type="spellEnd"/>
                      <w:r w:rsidRPr="00A7166E">
                        <w:rPr>
                          <w:color w:val="auto"/>
                        </w:rPr>
                        <w:t xml:space="preserve"> </w:t>
                      </w:r>
                      <w:proofErr w:type="spellStart"/>
                      <w:r w:rsidRPr="00A7166E">
                        <w:rPr>
                          <w:color w:val="auto"/>
                        </w:rPr>
                        <w:t>infiltration</w:t>
                      </w:r>
                      <w:proofErr w:type="spellEnd"/>
                      <w:r w:rsidRPr="00A7166E">
                        <w:rPr>
                          <w:color w:val="auto"/>
                        </w:rPr>
                        <w:t xml:space="preserve"> in </w:t>
                      </w:r>
                      <w:proofErr w:type="spellStart"/>
                      <w:r w:rsidRPr="00A7166E">
                        <w:rPr>
                          <w:color w:val="auto"/>
                        </w:rPr>
                        <w:t>the</w:t>
                      </w:r>
                      <w:proofErr w:type="spellEnd"/>
                      <w:r w:rsidRPr="00A7166E">
                        <w:rPr>
                          <w:color w:val="auto"/>
                        </w:rPr>
                        <w:t xml:space="preserve"> </w:t>
                      </w:r>
                      <w:proofErr w:type="spellStart"/>
                      <w:r w:rsidRPr="00A7166E">
                        <w:rPr>
                          <w:color w:val="auto"/>
                        </w:rPr>
                        <w:t>islet</w:t>
                      </w:r>
                      <w:proofErr w:type="spellEnd"/>
                      <w:r w:rsidRPr="00A7166E">
                        <w:rPr>
                          <w:color w:val="auto"/>
                        </w:rPr>
                        <w:t xml:space="preserve"> </w:t>
                      </w:r>
                      <w:proofErr w:type="spellStart"/>
                      <w:r w:rsidRPr="00A7166E">
                        <w:rPr>
                          <w:color w:val="auto"/>
                        </w:rPr>
                        <w:t>of</w:t>
                      </w:r>
                      <w:proofErr w:type="spellEnd"/>
                      <w:r w:rsidRPr="00A7166E">
                        <w:rPr>
                          <w:color w:val="auto"/>
                        </w:rPr>
                        <w:t xml:space="preserve"> Langerhans </w:t>
                      </w:r>
                      <w:proofErr w:type="spellStart"/>
                      <w:r w:rsidRPr="00A7166E">
                        <w:rPr>
                          <w:color w:val="auto"/>
                        </w:rPr>
                        <w:t>of</w:t>
                      </w:r>
                      <w:proofErr w:type="spellEnd"/>
                      <w:r w:rsidRPr="00A7166E">
                        <w:rPr>
                          <w:color w:val="auto"/>
                        </w:rPr>
                        <w:t xml:space="preserve"> NOD mouse at 11 </w:t>
                      </w:r>
                      <w:proofErr w:type="spellStart"/>
                      <w:r w:rsidRPr="00A7166E">
                        <w:rPr>
                          <w:color w:val="auto"/>
                        </w:rPr>
                        <w:t>weeks</w:t>
                      </w:r>
                      <w:proofErr w:type="spellEnd"/>
                      <w:r w:rsidRPr="00A7166E">
                        <w:rPr>
                          <w:color w:val="auto"/>
                        </w:rPr>
                        <w:t xml:space="preserve"> </w:t>
                      </w:r>
                      <w:proofErr w:type="spellStart"/>
                      <w:r w:rsidRPr="00A7166E">
                        <w:rPr>
                          <w:color w:val="auto"/>
                        </w:rPr>
                        <w:t>of</w:t>
                      </w:r>
                      <w:proofErr w:type="spellEnd"/>
                      <w:r w:rsidRPr="00A7166E">
                        <w:rPr>
                          <w:color w:val="auto"/>
                        </w:rPr>
                        <w:t xml:space="preserve"> </w:t>
                      </w:r>
                      <w:proofErr w:type="spellStart"/>
                      <w:r w:rsidRPr="00A7166E">
                        <w:rPr>
                          <w:color w:val="auto"/>
                        </w:rPr>
                        <w:t>age</w:t>
                      </w:r>
                      <w:proofErr w:type="spellEnd"/>
                      <w:r w:rsidRPr="00A7166E">
                        <w:rPr>
                          <w:color w:val="auto"/>
                        </w:rPr>
                        <w:t>.</w:t>
                      </w:r>
                    </w:p>
                  </w:txbxContent>
                </v:textbox>
                <w10:wrap type="square"/>
              </v:shape>
            </w:pict>
          </mc:Fallback>
        </mc:AlternateContent>
      </w:r>
      <w:r w:rsidRPr="00382EF0">
        <w:rPr>
          <w:rFonts w:ascii="Arial" w:hAnsi="Arial" w:cs="Arial"/>
          <w:b/>
          <w:bCs/>
          <w:lang w:val="en-US"/>
        </w:rPr>
        <w:t>Materials and Methods</w:t>
      </w:r>
      <w:r w:rsidRPr="00382EF0">
        <w:rPr>
          <w:rFonts w:ascii="Arial" w:hAnsi="Arial" w:cs="Arial"/>
          <w:bCs/>
          <w:lang w:val="en-US"/>
        </w:rPr>
        <w:t>: Thirty female NOD/</w:t>
      </w:r>
      <w:proofErr w:type="spellStart"/>
      <w:r w:rsidRPr="00382EF0">
        <w:rPr>
          <w:rFonts w:ascii="Arial" w:hAnsi="Arial" w:cs="Arial"/>
          <w:bCs/>
          <w:lang w:val="en-US"/>
        </w:rPr>
        <w:t>ShiLtJ</w:t>
      </w:r>
      <w:proofErr w:type="spellEnd"/>
      <w:r w:rsidRPr="00382EF0">
        <w:rPr>
          <w:rFonts w:ascii="Arial" w:hAnsi="Arial" w:cs="Arial"/>
          <w:bCs/>
          <w:lang w:val="en-US"/>
        </w:rPr>
        <w:t xml:space="preserve"> mice aged 4-5 weeks were housed in groups of four, fed standard chow, and provided water ad </w:t>
      </w:r>
      <w:proofErr w:type="spellStart"/>
      <w:proofErr w:type="gramStart"/>
      <w:r w:rsidRPr="00382EF0">
        <w:rPr>
          <w:rFonts w:ascii="Arial" w:hAnsi="Arial" w:cs="Arial"/>
          <w:bCs/>
          <w:lang w:val="en-US"/>
        </w:rPr>
        <w:t>libitum.Three</w:t>
      </w:r>
      <w:proofErr w:type="spellEnd"/>
      <w:proofErr w:type="gramEnd"/>
      <w:r w:rsidRPr="00382EF0">
        <w:rPr>
          <w:rFonts w:ascii="Arial" w:hAnsi="Arial" w:cs="Arial"/>
          <w:bCs/>
          <w:lang w:val="en-US"/>
        </w:rPr>
        <w:t xml:space="preserve"> groups (G) of 10 mice each were formed: G1 euthanized at 5 weeks, G2 at 11 weeks, and G3 at 20 weeks. Pancreatic samples were collected during necropsies and fixed in 4% paraformaldehyde for histochemical tests such as Masson's trichrome, immunohistochemistry (including TUNEL), and multispectral immunofluorescence to establish a panel for characterizing and describing the development and presence of TLS.</w:t>
      </w:r>
      <w:r w:rsidRPr="00382EF0">
        <w:t xml:space="preserve"> </w:t>
      </w:r>
      <w:r w:rsidRPr="00382EF0">
        <w:rPr>
          <w:rFonts w:ascii="Arial" w:hAnsi="Arial" w:cs="Arial"/>
          <w:bCs/>
          <w:lang w:val="en-US"/>
        </w:rPr>
        <w:t>Different cellular localization markers have been employed, such as anti-CD20, anti-CD19, anti-CD138, to phenotype B lymphocytes, along with a panel of biomarkers for tertiary lymphoid follicles consisting of anti-CXCR5, anti-CD21, and anti-</w:t>
      </w:r>
      <w:proofErr w:type="spellStart"/>
      <w:r w:rsidRPr="00382EF0">
        <w:rPr>
          <w:rFonts w:ascii="Arial" w:hAnsi="Arial" w:cs="Arial"/>
          <w:bCs/>
          <w:lang w:val="en-US"/>
        </w:rPr>
        <w:t>PNAd</w:t>
      </w:r>
      <w:proofErr w:type="spellEnd"/>
      <w:r w:rsidRPr="00382EF0">
        <w:rPr>
          <w:rFonts w:ascii="Arial" w:hAnsi="Arial" w:cs="Arial"/>
          <w:bCs/>
          <w:lang w:val="en-US"/>
        </w:rPr>
        <w:t xml:space="preserve">. </w:t>
      </w:r>
      <w:r w:rsidR="00382EF0" w:rsidRPr="00382EF0">
        <w:rPr>
          <w:rFonts w:ascii="Arial" w:hAnsi="Arial" w:cs="Arial"/>
          <w:bCs/>
          <w:lang w:val="en-US"/>
        </w:rPr>
        <w:t>Therefore</w:t>
      </w:r>
      <w:r w:rsidRPr="00382EF0">
        <w:rPr>
          <w:rFonts w:ascii="Arial" w:hAnsi="Arial" w:cs="Arial"/>
          <w:bCs/>
          <w:lang w:val="en-US"/>
        </w:rPr>
        <w:t xml:space="preserve">, a histopathological study was conducted using H&amp;E staining to determine, through a semi-quantitative analysis, the severity of inflammatory infiltration at different stages. </w:t>
      </w:r>
    </w:p>
    <w:p w14:paraId="0A3AD785" w14:textId="77777777" w:rsidR="00A61719" w:rsidRPr="00382EF0" w:rsidRDefault="00A61719" w:rsidP="00A61719">
      <w:pPr>
        <w:autoSpaceDE w:val="0"/>
        <w:autoSpaceDN w:val="0"/>
        <w:adjustRightInd w:val="0"/>
        <w:spacing w:after="0" w:line="240" w:lineRule="auto"/>
        <w:ind w:left="-284" w:right="-284"/>
        <w:jc w:val="both"/>
        <w:rPr>
          <w:rFonts w:ascii="Arial" w:hAnsi="Arial" w:cs="Arial"/>
          <w:bCs/>
          <w:lang w:val="en-US"/>
        </w:rPr>
      </w:pPr>
      <w:r w:rsidRPr="00382EF0">
        <w:rPr>
          <w:rFonts w:ascii="Arial" w:hAnsi="Arial" w:cs="Arial"/>
          <w:b/>
          <w:bCs/>
          <w:lang w:val="en-US"/>
        </w:rPr>
        <w:t>Results</w:t>
      </w:r>
      <w:r w:rsidRPr="00382EF0">
        <w:rPr>
          <w:rFonts w:ascii="Arial" w:hAnsi="Arial" w:cs="Arial"/>
          <w:bCs/>
          <w:lang w:val="en-US"/>
        </w:rPr>
        <w:t xml:space="preserve">: Preliminary analyses indicate that the presence and degree of TLS maturation exhibited a varying trend throughout pathogenesis. Differences were also observed in fibrosis deposits within Langerhans islets, as well as TUNEL technique positivity. </w:t>
      </w:r>
    </w:p>
    <w:p w14:paraId="332EEA6B" w14:textId="0F366138" w:rsidR="0084279F" w:rsidRPr="00A61719" w:rsidRDefault="00A61719" w:rsidP="00382EF0">
      <w:pPr>
        <w:autoSpaceDE w:val="0"/>
        <w:autoSpaceDN w:val="0"/>
        <w:adjustRightInd w:val="0"/>
        <w:spacing w:after="0" w:line="240" w:lineRule="auto"/>
        <w:ind w:left="-284" w:right="-284"/>
        <w:jc w:val="both"/>
        <w:rPr>
          <w:rFonts w:ascii="Arial" w:hAnsi="Arial" w:cs="Arial"/>
          <w:bCs/>
          <w:lang w:val="en-US"/>
        </w:rPr>
      </w:pPr>
      <w:r w:rsidRPr="00382EF0">
        <w:rPr>
          <w:rFonts w:ascii="Arial" w:hAnsi="Arial" w:cs="Arial"/>
          <w:b/>
          <w:bCs/>
          <w:lang w:val="en-US"/>
        </w:rPr>
        <w:t>Conclusions</w:t>
      </w:r>
      <w:r w:rsidRPr="00382EF0">
        <w:rPr>
          <w:rFonts w:ascii="Arial" w:hAnsi="Arial" w:cs="Arial"/>
          <w:bCs/>
          <w:lang w:val="en-US"/>
        </w:rPr>
        <w:t>: Understanding the presence and formation of tertiary lymphoid structures in the pancreas of NOD mice and relating it to local immunopathogenesis at different stages of the disease could be one of the exacerbating factors of the pathology, as well as disease maintainers.</w:t>
      </w:r>
    </w:p>
    <w:sectPr w:rsidR="0084279F" w:rsidRPr="00A6171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9D76" w14:textId="77777777" w:rsidR="003E3B8D" w:rsidRDefault="003E3B8D" w:rsidP="0031307F">
      <w:pPr>
        <w:spacing w:after="0" w:line="240" w:lineRule="auto"/>
      </w:pPr>
      <w:r>
        <w:separator/>
      </w:r>
    </w:p>
  </w:endnote>
  <w:endnote w:type="continuationSeparator" w:id="0">
    <w:p w14:paraId="1A22A07F" w14:textId="77777777" w:rsidR="003E3B8D" w:rsidRDefault="003E3B8D" w:rsidP="0031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A5E9F" w14:textId="77777777" w:rsidR="003E3B8D" w:rsidRDefault="003E3B8D" w:rsidP="0031307F">
      <w:pPr>
        <w:spacing w:after="0" w:line="240" w:lineRule="auto"/>
      </w:pPr>
      <w:r>
        <w:separator/>
      </w:r>
    </w:p>
  </w:footnote>
  <w:footnote w:type="continuationSeparator" w:id="0">
    <w:p w14:paraId="2F54EE19" w14:textId="77777777" w:rsidR="003E3B8D" w:rsidRDefault="003E3B8D" w:rsidP="0031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5D25" w14:textId="29E15DCE" w:rsidR="0031307F" w:rsidRDefault="0031307F" w:rsidP="00D551C9">
    <w:pPr>
      <w:pStyle w:val="Encabezado"/>
      <w:tabs>
        <w:tab w:val="clear" w:pos="8504"/>
      </w:tabs>
      <w:ind w:right="-285"/>
      <w:jc w:val="right"/>
    </w:pPr>
    <w:r w:rsidRPr="0031307F">
      <w:rPr>
        <w:noProof/>
      </w:rPr>
      <w:drawing>
        <wp:inline distT="0" distB="0" distL="0" distR="0" wp14:anchorId="45D880C7" wp14:editId="11441379">
          <wp:extent cx="1379709" cy="514350"/>
          <wp:effectExtent l="0" t="0" r="0" b="0"/>
          <wp:docPr id="1" name="Imagen 1" descr="Imagen que contiene botella, firmar, tráfico,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botella, firmar, tráfico, gente&#10;&#10;Descripción generada automáticamente"/>
                  <pic:cNvPicPr/>
                </pic:nvPicPr>
                <pic:blipFill>
                  <a:blip r:embed="rId1"/>
                  <a:stretch>
                    <a:fillRect/>
                  </a:stretch>
                </pic:blipFill>
                <pic:spPr>
                  <a:xfrm>
                    <a:off x="0" y="0"/>
                    <a:ext cx="1403404" cy="5231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D2"/>
    <w:rsid w:val="00022C0D"/>
    <w:rsid w:val="00037BFA"/>
    <w:rsid w:val="00041ABB"/>
    <w:rsid w:val="00050DB1"/>
    <w:rsid w:val="000762AD"/>
    <w:rsid w:val="00083B78"/>
    <w:rsid w:val="000E10E5"/>
    <w:rsid w:val="000F7038"/>
    <w:rsid w:val="001025B8"/>
    <w:rsid w:val="00111A2B"/>
    <w:rsid w:val="00143111"/>
    <w:rsid w:val="00152160"/>
    <w:rsid w:val="00153A7D"/>
    <w:rsid w:val="001750AE"/>
    <w:rsid w:val="00177B8C"/>
    <w:rsid w:val="00185234"/>
    <w:rsid w:val="001C0D02"/>
    <w:rsid w:val="001C0E81"/>
    <w:rsid w:val="00210134"/>
    <w:rsid w:val="00242E6F"/>
    <w:rsid w:val="00260040"/>
    <w:rsid w:val="00272369"/>
    <w:rsid w:val="002B0CC3"/>
    <w:rsid w:val="002C1380"/>
    <w:rsid w:val="002D4211"/>
    <w:rsid w:val="002E0C65"/>
    <w:rsid w:val="00306D46"/>
    <w:rsid w:val="0031307F"/>
    <w:rsid w:val="00326A91"/>
    <w:rsid w:val="00333955"/>
    <w:rsid w:val="00382EF0"/>
    <w:rsid w:val="003835EE"/>
    <w:rsid w:val="00394B27"/>
    <w:rsid w:val="003E3B8D"/>
    <w:rsid w:val="003F6C42"/>
    <w:rsid w:val="00422A2A"/>
    <w:rsid w:val="00461EB9"/>
    <w:rsid w:val="00467541"/>
    <w:rsid w:val="00470825"/>
    <w:rsid w:val="00486F6B"/>
    <w:rsid w:val="004A12E8"/>
    <w:rsid w:val="004A28D4"/>
    <w:rsid w:val="004C1257"/>
    <w:rsid w:val="004E756C"/>
    <w:rsid w:val="005069F2"/>
    <w:rsid w:val="00510327"/>
    <w:rsid w:val="0054110E"/>
    <w:rsid w:val="005D69D3"/>
    <w:rsid w:val="006060B0"/>
    <w:rsid w:val="006623B4"/>
    <w:rsid w:val="006844AC"/>
    <w:rsid w:val="00697144"/>
    <w:rsid w:val="006F265C"/>
    <w:rsid w:val="00711439"/>
    <w:rsid w:val="00734FFC"/>
    <w:rsid w:val="00782938"/>
    <w:rsid w:val="007A6679"/>
    <w:rsid w:val="007D5E4B"/>
    <w:rsid w:val="007E6378"/>
    <w:rsid w:val="007F57DA"/>
    <w:rsid w:val="0082036F"/>
    <w:rsid w:val="00820730"/>
    <w:rsid w:val="00825CE2"/>
    <w:rsid w:val="008345BC"/>
    <w:rsid w:val="008370BD"/>
    <w:rsid w:val="0084279F"/>
    <w:rsid w:val="0085527F"/>
    <w:rsid w:val="00866CD7"/>
    <w:rsid w:val="00874AD5"/>
    <w:rsid w:val="008C2114"/>
    <w:rsid w:val="008F2856"/>
    <w:rsid w:val="008F7427"/>
    <w:rsid w:val="00915D25"/>
    <w:rsid w:val="00930D43"/>
    <w:rsid w:val="00945B84"/>
    <w:rsid w:val="009E6818"/>
    <w:rsid w:val="00A15B29"/>
    <w:rsid w:val="00A528BF"/>
    <w:rsid w:val="00A56215"/>
    <w:rsid w:val="00A61719"/>
    <w:rsid w:val="00A912DA"/>
    <w:rsid w:val="00A955CB"/>
    <w:rsid w:val="00AB4A92"/>
    <w:rsid w:val="00AC7603"/>
    <w:rsid w:val="00AF6DCD"/>
    <w:rsid w:val="00B10F2A"/>
    <w:rsid w:val="00B153C6"/>
    <w:rsid w:val="00B31239"/>
    <w:rsid w:val="00B5019B"/>
    <w:rsid w:val="00B71D3A"/>
    <w:rsid w:val="00B76FEF"/>
    <w:rsid w:val="00B77BC0"/>
    <w:rsid w:val="00B838EB"/>
    <w:rsid w:val="00B971AF"/>
    <w:rsid w:val="00BA67F4"/>
    <w:rsid w:val="00BC4C65"/>
    <w:rsid w:val="00C03CB7"/>
    <w:rsid w:val="00C05707"/>
    <w:rsid w:val="00C10DC1"/>
    <w:rsid w:val="00C13309"/>
    <w:rsid w:val="00C1689B"/>
    <w:rsid w:val="00C179AC"/>
    <w:rsid w:val="00C26086"/>
    <w:rsid w:val="00C37E37"/>
    <w:rsid w:val="00C43B39"/>
    <w:rsid w:val="00C60880"/>
    <w:rsid w:val="00C643F4"/>
    <w:rsid w:val="00C9758B"/>
    <w:rsid w:val="00C97D4C"/>
    <w:rsid w:val="00CB7316"/>
    <w:rsid w:val="00CE0C5D"/>
    <w:rsid w:val="00CE5B79"/>
    <w:rsid w:val="00D02957"/>
    <w:rsid w:val="00D123F4"/>
    <w:rsid w:val="00D240D1"/>
    <w:rsid w:val="00D2634E"/>
    <w:rsid w:val="00D31468"/>
    <w:rsid w:val="00D5477D"/>
    <w:rsid w:val="00D551C9"/>
    <w:rsid w:val="00D729DA"/>
    <w:rsid w:val="00D82245"/>
    <w:rsid w:val="00DD1850"/>
    <w:rsid w:val="00DD315D"/>
    <w:rsid w:val="00DF0ED2"/>
    <w:rsid w:val="00E331D2"/>
    <w:rsid w:val="00E539D6"/>
    <w:rsid w:val="00E601BE"/>
    <w:rsid w:val="00E63B6F"/>
    <w:rsid w:val="00E71A28"/>
    <w:rsid w:val="00EC41AB"/>
    <w:rsid w:val="00EF155C"/>
    <w:rsid w:val="00EF7BB8"/>
    <w:rsid w:val="00F06C4B"/>
    <w:rsid w:val="00F15BA1"/>
    <w:rsid w:val="00F21E2E"/>
    <w:rsid w:val="00F24FD6"/>
    <w:rsid w:val="00F46277"/>
    <w:rsid w:val="00F66CB9"/>
    <w:rsid w:val="00F67BC0"/>
    <w:rsid w:val="00FA4FF8"/>
    <w:rsid w:val="00FB4E47"/>
    <w:rsid w:val="00FD5B53"/>
    <w:rsid w:val="00FE3505"/>
    <w:rsid w:val="00FE7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58DB"/>
  <w15:docId w15:val="{578EA0F4-9CEE-41B5-86E8-01385FFB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0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07F"/>
  </w:style>
  <w:style w:type="paragraph" w:styleId="Piedepgina">
    <w:name w:val="footer"/>
    <w:basedOn w:val="Normal"/>
    <w:link w:val="PiedepginaCar"/>
    <w:uiPriority w:val="99"/>
    <w:unhideWhenUsed/>
    <w:rsid w:val="0031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07F"/>
  </w:style>
  <w:style w:type="paragraph" w:styleId="NormalWeb">
    <w:name w:val="Normal (Web)"/>
    <w:basedOn w:val="Normal"/>
    <w:uiPriority w:val="99"/>
    <w:unhideWhenUsed/>
    <w:rsid w:val="00FE35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A6171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Martin</dc:creator>
  <cp:keywords/>
  <dc:description/>
  <cp:lastModifiedBy>Usuario UMA</cp:lastModifiedBy>
  <cp:revision>5</cp:revision>
  <cp:lastPrinted>2024-05-06T06:35:00Z</cp:lastPrinted>
  <dcterms:created xsi:type="dcterms:W3CDTF">2024-04-26T11:58:00Z</dcterms:created>
  <dcterms:modified xsi:type="dcterms:W3CDTF">2024-05-06T06:35:00Z</dcterms:modified>
</cp:coreProperties>
</file>