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0659E" w14:textId="77777777" w:rsidR="004F2489" w:rsidRPr="00A7706C" w:rsidRDefault="004F2489" w:rsidP="004F2489">
      <w:pPr>
        <w:autoSpaceDE w:val="0"/>
        <w:autoSpaceDN w:val="0"/>
        <w:adjustRightInd w:val="0"/>
        <w:spacing w:after="120" w:line="240" w:lineRule="auto"/>
        <w:ind w:left="-284" w:right="-284"/>
        <w:jc w:val="center"/>
        <w:rPr>
          <w:rFonts w:ascii="Arial" w:hAnsi="Arial" w:cs="Arial"/>
          <w:b/>
          <w:bCs/>
          <w:sz w:val="28"/>
          <w:lang w:val="en-US"/>
        </w:rPr>
      </w:pPr>
      <w:r>
        <w:rPr>
          <w:rFonts w:ascii="Arial" w:hAnsi="Arial" w:cs="Arial"/>
          <w:b/>
          <w:bCs/>
          <w:sz w:val="28"/>
          <w:lang w:val="en-US"/>
        </w:rPr>
        <w:t>Deep Learning and Digital Pathology</w:t>
      </w:r>
      <w:r w:rsidRPr="00A7706C">
        <w:rPr>
          <w:rFonts w:ascii="Arial" w:hAnsi="Arial" w:cs="Arial"/>
          <w:b/>
          <w:bCs/>
          <w:sz w:val="28"/>
          <w:lang w:val="en-US"/>
        </w:rPr>
        <w:t>.</w:t>
      </w:r>
    </w:p>
    <w:p w14:paraId="59B7146C" w14:textId="77777777" w:rsidR="004F2489" w:rsidRPr="00C03E27" w:rsidRDefault="004F2489" w:rsidP="004F2489">
      <w:pPr>
        <w:pStyle w:val="NormalWeb"/>
        <w:spacing w:beforeAutospacing="0" w:after="200" w:afterAutospacing="0"/>
        <w:ind w:left="-284"/>
        <w:jc w:val="center"/>
        <w:rPr>
          <w:rFonts w:ascii="Arial" w:hAnsi="Arial" w:cs="Arial"/>
          <w:color w:val="000000"/>
          <w:szCs w:val="22"/>
        </w:rPr>
      </w:pPr>
      <w:r w:rsidRPr="00C03E27">
        <w:rPr>
          <w:rFonts w:ascii="Arial" w:hAnsi="Arial" w:cs="Arial"/>
          <w:color w:val="000000"/>
          <w:szCs w:val="22"/>
          <w:vertAlign w:val="superscript"/>
        </w:rPr>
        <w:t>1</w:t>
      </w:r>
      <w:r w:rsidRPr="00C03E27">
        <w:rPr>
          <w:rFonts w:ascii="Arial" w:hAnsi="Arial" w:cs="Arial"/>
          <w:color w:val="000000"/>
          <w:szCs w:val="22"/>
        </w:rPr>
        <w:t xml:space="preserve">Onieva JL., </w:t>
      </w:r>
      <w:r w:rsidRPr="00C03E27">
        <w:rPr>
          <w:rFonts w:ascii="Arial" w:hAnsi="Arial" w:cs="Arial"/>
          <w:color w:val="000000"/>
          <w:szCs w:val="22"/>
          <w:vertAlign w:val="superscript"/>
        </w:rPr>
        <w:t>1</w:t>
      </w:r>
      <w:r w:rsidRPr="00C03E27">
        <w:rPr>
          <w:rFonts w:ascii="Arial" w:hAnsi="Arial" w:cs="Arial"/>
          <w:color w:val="000000"/>
          <w:szCs w:val="22"/>
        </w:rPr>
        <w:t>R</w:t>
      </w:r>
      <w:r>
        <w:rPr>
          <w:rFonts w:ascii="Arial" w:hAnsi="Arial" w:cs="Arial"/>
          <w:color w:val="000000"/>
          <w:szCs w:val="22"/>
        </w:rPr>
        <w:t>í</w:t>
      </w:r>
      <w:r w:rsidRPr="00C03E27">
        <w:rPr>
          <w:rFonts w:ascii="Arial" w:hAnsi="Arial" w:cs="Arial"/>
          <w:color w:val="000000"/>
          <w:szCs w:val="22"/>
        </w:rPr>
        <w:t xml:space="preserve">os A., </w:t>
      </w:r>
      <w:r w:rsidRPr="00C03E27">
        <w:rPr>
          <w:rFonts w:ascii="Arial" w:hAnsi="Arial" w:cs="Arial"/>
          <w:color w:val="000000"/>
          <w:szCs w:val="22"/>
          <w:vertAlign w:val="superscript"/>
        </w:rPr>
        <w:t>1</w:t>
      </w:r>
      <w:r w:rsidRPr="00C03E27">
        <w:rPr>
          <w:rFonts w:ascii="Arial" w:hAnsi="Arial" w:cs="Arial"/>
          <w:color w:val="000000"/>
          <w:szCs w:val="22"/>
        </w:rPr>
        <w:t>Márquez</w:t>
      </w:r>
      <w:r>
        <w:rPr>
          <w:rFonts w:ascii="Arial" w:hAnsi="Arial" w:cs="Arial"/>
          <w:color w:val="000000"/>
          <w:szCs w:val="22"/>
        </w:rPr>
        <w:t>-Malia</w:t>
      </w:r>
      <w:r w:rsidRPr="00C03E27">
        <w:rPr>
          <w:rFonts w:ascii="Arial" w:hAnsi="Arial" w:cs="Arial"/>
          <w:color w:val="000000"/>
          <w:szCs w:val="22"/>
        </w:rPr>
        <w:t xml:space="preserve"> A.</w:t>
      </w:r>
      <w:r>
        <w:rPr>
          <w:rFonts w:ascii="Arial" w:hAnsi="Arial" w:cs="Arial"/>
          <w:color w:val="000000"/>
          <w:szCs w:val="22"/>
        </w:rPr>
        <w:t>,</w:t>
      </w:r>
      <w:r w:rsidRPr="00C03E27">
        <w:rPr>
          <w:rFonts w:ascii="Arial" w:hAnsi="Arial" w:cs="Arial"/>
          <w:color w:val="000000"/>
          <w:szCs w:val="22"/>
        </w:rPr>
        <w:t xml:space="preserve"> and </w:t>
      </w:r>
      <w:r w:rsidRPr="00C03E27">
        <w:rPr>
          <w:rFonts w:ascii="Arial" w:hAnsi="Arial" w:cs="Arial"/>
          <w:color w:val="000000"/>
          <w:szCs w:val="22"/>
          <w:vertAlign w:val="superscript"/>
        </w:rPr>
        <w:t>1</w:t>
      </w:r>
      <w:r>
        <w:rPr>
          <w:rFonts w:ascii="Arial" w:hAnsi="Arial" w:cs="Arial"/>
          <w:color w:val="000000"/>
          <w:szCs w:val="22"/>
        </w:rPr>
        <w:t>Cantarero-Cuenca</w:t>
      </w:r>
      <w:r w:rsidRPr="00C03E27">
        <w:rPr>
          <w:rFonts w:ascii="Arial" w:hAnsi="Arial" w:cs="Arial"/>
          <w:color w:val="000000"/>
          <w:szCs w:val="22"/>
        </w:rPr>
        <w:t xml:space="preserve"> </w:t>
      </w:r>
      <w:r>
        <w:rPr>
          <w:rFonts w:ascii="Arial" w:hAnsi="Arial" w:cs="Arial"/>
          <w:color w:val="000000"/>
          <w:szCs w:val="22"/>
        </w:rPr>
        <w:t>A</w:t>
      </w:r>
      <w:r w:rsidRPr="00C03E27">
        <w:rPr>
          <w:rFonts w:ascii="Arial" w:hAnsi="Arial" w:cs="Arial"/>
          <w:color w:val="000000"/>
          <w:szCs w:val="22"/>
        </w:rPr>
        <w:t>.</w:t>
      </w:r>
    </w:p>
    <w:p w14:paraId="5F974BA6" w14:textId="77777777" w:rsidR="004F2489" w:rsidRDefault="004F2489" w:rsidP="004F2489">
      <w:pPr>
        <w:autoSpaceDE w:val="0"/>
        <w:autoSpaceDN w:val="0"/>
        <w:adjustRightInd w:val="0"/>
        <w:spacing w:after="0" w:line="240" w:lineRule="auto"/>
        <w:ind w:left="-284" w:right="-284"/>
        <w:jc w:val="both"/>
        <w:rPr>
          <w:rFonts w:ascii="ArialMT" w:hAnsi="ArialMT" w:cs="ArialMT"/>
          <w:sz w:val="18"/>
          <w:szCs w:val="18"/>
        </w:rPr>
      </w:pPr>
      <w:r w:rsidRPr="00C10DC1">
        <w:rPr>
          <w:rFonts w:ascii="ArialMT" w:hAnsi="ArialMT" w:cs="ArialMT"/>
          <w:sz w:val="18"/>
          <w:szCs w:val="18"/>
          <w:vertAlign w:val="superscript"/>
        </w:rPr>
        <w:t>1</w:t>
      </w:r>
      <w:r>
        <w:rPr>
          <w:rFonts w:ascii="ArialMT" w:hAnsi="ArialMT" w:cs="ArialMT"/>
          <w:sz w:val="18"/>
          <w:szCs w:val="18"/>
          <w:vertAlign w:val="superscript"/>
        </w:rPr>
        <w:t xml:space="preserve"> </w:t>
      </w:r>
      <w:proofErr w:type="spellStart"/>
      <w:r w:rsidRPr="00A15456">
        <w:rPr>
          <w:rFonts w:ascii="ArialMT" w:hAnsi="ArialMT" w:cs="ArialMT"/>
          <w:sz w:val="18"/>
          <w:szCs w:val="18"/>
        </w:rPr>
        <w:t>Applied</w:t>
      </w:r>
      <w:proofErr w:type="spellEnd"/>
      <w:r w:rsidRPr="00A15456">
        <w:rPr>
          <w:rFonts w:ascii="ArialMT" w:hAnsi="ArialMT" w:cs="ArialMT"/>
          <w:sz w:val="18"/>
          <w:szCs w:val="18"/>
        </w:rPr>
        <w:t xml:space="preserve"> </w:t>
      </w:r>
      <w:proofErr w:type="spellStart"/>
      <w:r w:rsidRPr="00A15456">
        <w:rPr>
          <w:rFonts w:ascii="ArialMT" w:hAnsi="ArialMT" w:cs="ArialMT"/>
          <w:sz w:val="18"/>
          <w:szCs w:val="18"/>
        </w:rPr>
        <w:t>Bioinformatics</w:t>
      </w:r>
      <w:proofErr w:type="spellEnd"/>
      <w:r w:rsidRPr="00A15456">
        <w:rPr>
          <w:rFonts w:ascii="ArialMT" w:hAnsi="ArialMT" w:cs="ArialMT"/>
          <w:sz w:val="18"/>
          <w:szCs w:val="18"/>
        </w:rPr>
        <w:t xml:space="preserve"> </w:t>
      </w:r>
      <w:proofErr w:type="spellStart"/>
      <w:r w:rsidRPr="00A15456">
        <w:rPr>
          <w:rFonts w:ascii="ArialMT" w:hAnsi="ArialMT" w:cs="ArialMT"/>
          <w:sz w:val="18"/>
          <w:szCs w:val="18"/>
        </w:rPr>
        <w:t>Unit</w:t>
      </w:r>
      <w:proofErr w:type="spellEnd"/>
      <w:r w:rsidRPr="00A15456">
        <w:rPr>
          <w:rFonts w:ascii="ArialMT" w:hAnsi="ArialMT" w:cs="ArialMT"/>
          <w:sz w:val="18"/>
          <w:szCs w:val="18"/>
        </w:rPr>
        <w:t>, Centro de Investigación y Terapias Avanzadas del Cáncer (CITAC), Málaga</w:t>
      </w:r>
      <w:r w:rsidRPr="00C10DC1">
        <w:rPr>
          <w:rFonts w:ascii="ArialMT" w:hAnsi="ArialMT" w:cs="ArialMT"/>
          <w:sz w:val="18"/>
          <w:szCs w:val="18"/>
        </w:rPr>
        <w:t xml:space="preserve">, Spain. </w:t>
      </w:r>
    </w:p>
    <w:p w14:paraId="4A3E0608" w14:textId="77777777" w:rsidR="004F2489" w:rsidRDefault="004F2489" w:rsidP="004F2489">
      <w:pPr>
        <w:autoSpaceDE w:val="0"/>
        <w:autoSpaceDN w:val="0"/>
        <w:adjustRightInd w:val="0"/>
        <w:spacing w:after="0" w:line="240" w:lineRule="auto"/>
        <w:ind w:left="-284" w:right="-284"/>
        <w:jc w:val="both"/>
        <w:rPr>
          <w:rFonts w:ascii="ArialMT" w:hAnsi="ArialMT" w:cs="ArialMT"/>
          <w:sz w:val="18"/>
          <w:szCs w:val="18"/>
        </w:rPr>
      </w:pPr>
    </w:p>
    <w:p w14:paraId="487A3BDE" w14:textId="77777777" w:rsidR="004F2489" w:rsidRPr="002633E3" w:rsidRDefault="004F2489" w:rsidP="004F2489">
      <w:pPr>
        <w:autoSpaceDE w:val="0"/>
        <w:autoSpaceDN w:val="0"/>
        <w:adjustRightInd w:val="0"/>
        <w:spacing w:after="0" w:line="240" w:lineRule="auto"/>
        <w:ind w:left="-284" w:right="-284"/>
        <w:jc w:val="both"/>
        <w:rPr>
          <w:rFonts w:ascii="Arial" w:eastAsia="Times New Roman" w:hAnsi="Arial" w:cs="Arial"/>
          <w:lang w:val="en-GB"/>
        </w:rPr>
      </w:pPr>
      <w:r w:rsidRPr="00A66D03">
        <w:rPr>
          <w:rFonts w:ascii="Arial" w:eastAsia="Times New Roman" w:hAnsi="Arial" w:cs="Arial"/>
          <w:b/>
          <w:bCs/>
          <w:lang w:val="en-GB"/>
        </w:rPr>
        <w:t>Introduction</w:t>
      </w:r>
      <w:r>
        <w:rPr>
          <w:rFonts w:ascii="Arial" w:eastAsia="Times New Roman" w:hAnsi="Arial" w:cs="Arial"/>
          <w:b/>
          <w:bCs/>
          <w:lang w:val="en-GB"/>
        </w:rPr>
        <w:t>:</w:t>
      </w:r>
      <w:r w:rsidRPr="00A66D03">
        <w:rPr>
          <w:rFonts w:ascii="Arial" w:eastAsia="Times New Roman" w:hAnsi="Arial" w:cs="Arial"/>
          <w:b/>
          <w:bCs/>
          <w:lang w:val="en-GB"/>
        </w:rPr>
        <w:t xml:space="preserve"> </w:t>
      </w:r>
      <w:r w:rsidRPr="00C9583A">
        <w:rPr>
          <w:rFonts w:ascii="Arial" w:eastAsia="Times New Roman" w:hAnsi="Arial" w:cs="Arial"/>
          <w:lang w:val="en-GB"/>
        </w:rPr>
        <w:t>Digital pathology retains the core of histology as a visual, pattern-recognition discipline while fundamentally transforming its substrate. Deep learning leverages these digitized data to revolutionize the field, converting qualitative assessments into reproducible quantification and increasingly inferring molecular-level information directly from tissue morphology. This work addresses a central question for tissue engineering and personalised medicine: how much biological information can be extracted from a standard haematoxylin and eosin (H&amp;E) slide? To evaluate this, a four-tier roadmap is proposed: (</w:t>
      </w:r>
      <w:proofErr w:type="spellStart"/>
      <w:r w:rsidRPr="00C9583A">
        <w:rPr>
          <w:rFonts w:ascii="Arial" w:eastAsia="Times New Roman" w:hAnsi="Arial" w:cs="Arial"/>
          <w:lang w:val="en-GB"/>
        </w:rPr>
        <w:t>i</w:t>
      </w:r>
      <w:proofErr w:type="spellEnd"/>
      <w:r w:rsidRPr="00C9583A">
        <w:rPr>
          <w:rFonts w:ascii="Arial" w:eastAsia="Times New Roman" w:hAnsi="Arial" w:cs="Arial"/>
          <w:lang w:val="en-GB"/>
        </w:rPr>
        <w:t>) nuclear segmentation and counting, (ii) protein quantification, (iii) cell-type proportions, and (iv) prediction of treatment response.</w:t>
      </w:r>
    </w:p>
    <w:p w14:paraId="1457A11F" w14:textId="77777777" w:rsidR="004F2489" w:rsidRDefault="004F2489" w:rsidP="004F2489">
      <w:pPr>
        <w:autoSpaceDE w:val="0"/>
        <w:autoSpaceDN w:val="0"/>
        <w:adjustRightInd w:val="0"/>
        <w:spacing w:after="0" w:line="240" w:lineRule="auto"/>
        <w:ind w:left="-284" w:right="-284"/>
        <w:jc w:val="both"/>
        <w:rPr>
          <w:rFonts w:ascii="Arial" w:eastAsia="Times New Roman" w:hAnsi="Arial" w:cs="Arial"/>
          <w:b/>
          <w:bCs/>
          <w:lang w:val="en-GB" w:eastAsia="es-ES_tradnl"/>
        </w:rPr>
      </w:pPr>
    </w:p>
    <w:p w14:paraId="00CCE434" w14:textId="77777777" w:rsidR="004F2489" w:rsidRDefault="004F2489" w:rsidP="004F2489">
      <w:pPr>
        <w:autoSpaceDE w:val="0"/>
        <w:autoSpaceDN w:val="0"/>
        <w:adjustRightInd w:val="0"/>
        <w:spacing w:after="0" w:line="240" w:lineRule="auto"/>
        <w:ind w:left="-284" w:right="-284"/>
        <w:jc w:val="both"/>
        <w:rPr>
          <w:rFonts w:ascii="Arial" w:eastAsia="Times New Roman" w:hAnsi="Arial" w:cs="Arial"/>
          <w:b/>
          <w:bCs/>
          <w:lang w:val="en-GB" w:eastAsia="es-ES_tradnl"/>
        </w:rPr>
      </w:pPr>
      <w:r w:rsidRPr="000C04DA">
        <w:rPr>
          <w:rFonts w:ascii="Arial" w:eastAsia="Times New Roman" w:hAnsi="Arial" w:cs="Arial"/>
          <w:b/>
          <w:bCs/>
          <w:lang w:val="en-GB" w:eastAsia="es-ES_tradnl"/>
        </w:rPr>
        <w:t>Materials and Methods</w:t>
      </w:r>
      <w:r w:rsidRPr="00AD3A56">
        <w:rPr>
          <w:rFonts w:ascii="Arial" w:eastAsia="Times New Roman" w:hAnsi="Arial" w:cs="Arial"/>
          <w:b/>
          <w:bCs/>
          <w:lang w:val="en-GB" w:eastAsia="es-ES_tradnl"/>
        </w:rPr>
        <w:t>:</w:t>
      </w:r>
      <w:r w:rsidRPr="000C04DA">
        <w:rPr>
          <w:rFonts w:ascii="Arial" w:eastAsia="Times New Roman" w:hAnsi="Arial" w:cs="Arial"/>
          <w:lang w:val="en-GB" w:eastAsia="es-ES_tradnl"/>
        </w:rPr>
        <w:t xml:space="preserve"> </w:t>
      </w:r>
      <w:r w:rsidRPr="002633E3">
        <w:rPr>
          <w:rFonts w:ascii="Arial" w:eastAsia="Times New Roman" w:hAnsi="Arial" w:cs="Arial"/>
          <w:lang w:val="en-GB" w:eastAsia="es-ES_tradnl"/>
        </w:rPr>
        <w:t xml:space="preserve">A structured evaluation of representative published models was conducted, addressing the four challenges. For the first task, two architectures sharing the dual objective of instance segmentation and nuclear classification were compared: </w:t>
      </w:r>
      <w:proofErr w:type="spellStart"/>
      <w:r w:rsidRPr="002633E3">
        <w:rPr>
          <w:rFonts w:ascii="Arial" w:eastAsia="Times New Roman" w:hAnsi="Arial" w:cs="Arial"/>
          <w:lang w:val="en-GB" w:eastAsia="es-ES_tradnl"/>
        </w:rPr>
        <w:t>HoVer</w:t>
      </w:r>
      <w:proofErr w:type="spellEnd"/>
      <w:r w:rsidRPr="002633E3">
        <w:rPr>
          <w:rFonts w:ascii="Arial" w:eastAsia="Times New Roman" w:hAnsi="Arial" w:cs="Arial"/>
          <w:lang w:val="en-GB" w:eastAsia="es-ES_tradnl"/>
        </w:rPr>
        <w:t>-Net</w:t>
      </w:r>
      <w:r>
        <w:rPr>
          <w:rFonts w:ascii="Arial" w:eastAsia="Times New Roman" w:hAnsi="Arial" w:cs="Arial"/>
          <w:lang w:val="en-GB" w:eastAsia="es-ES_tradnl"/>
        </w:rPr>
        <w:t xml:space="preserve"> [1]</w:t>
      </w:r>
      <w:r w:rsidRPr="002633E3">
        <w:rPr>
          <w:rFonts w:ascii="Arial" w:eastAsia="Times New Roman" w:hAnsi="Arial" w:cs="Arial"/>
          <w:lang w:val="en-GB" w:eastAsia="es-ES_tradnl"/>
        </w:rPr>
        <w:t>, a lightweight convolutional encoder pre-trained on natural images, and CellViT-256</w:t>
      </w:r>
      <w:r>
        <w:rPr>
          <w:rFonts w:ascii="Arial" w:eastAsia="Times New Roman" w:hAnsi="Arial" w:cs="Arial"/>
          <w:lang w:val="en-GB" w:eastAsia="es-ES_tradnl"/>
        </w:rPr>
        <w:t xml:space="preserve"> [2]</w:t>
      </w:r>
      <w:r w:rsidRPr="002633E3">
        <w:rPr>
          <w:rFonts w:ascii="Arial" w:eastAsia="Times New Roman" w:hAnsi="Arial" w:cs="Arial"/>
          <w:lang w:val="en-GB" w:eastAsia="es-ES_tradnl"/>
        </w:rPr>
        <w:t xml:space="preserve">, a Vision Transformer self-supervised on approximately 100,000 histopathology patches. Both were benchmarked using the </w:t>
      </w:r>
      <w:proofErr w:type="spellStart"/>
      <w:r w:rsidRPr="002633E3">
        <w:rPr>
          <w:rFonts w:ascii="Arial" w:eastAsia="Times New Roman" w:hAnsi="Arial" w:cs="Arial"/>
          <w:lang w:val="en-GB" w:eastAsia="es-ES_tradnl"/>
        </w:rPr>
        <w:t>PanNuke</w:t>
      </w:r>
      <w:proofErr w:type="spellEnd"/>
      <w:r w:rsidRPr="002633E3">
        <w:rPr>
          <w:rFonts w:ascii="Arial" w:eastAsia="Times New Roman" w:hAnsi="Arial" w:cs="Arial"/>
          <w:lang w:val="en-GB" w:eastAsia="es-ES_tradnl"/>
        </w:rPr>
        <w:t xml:space="preserve"> dataset (19 tissue types, ~190,000 annotated nuclei). The second challenge (protein quantification) was illustrated by a </w:t>
      </w:r>
      <w:proofErr w:type="spellStart"/>
      <w:r w:rsidRPr="002633E3">
        <w:rPr>
          <w:rFonts w:ascii="Arial" w:eastAsia="Times New Roman" w:hAnsi="Arial" w:cs="Arial"/>
          <w:lang w:val="en-GB" w:eastAsia="es-ES_tradnl"/>
        </w:rPr>
        <w:t>DenseNet</w:t>
      </w:r>
      <w:proofErr w:type="spellEnd"/>
      <w:r w:rsidRPr="002633E3">
        <w:rPr>
          <w:rFonts w:ascii="Arial" w:eastAsia="Times New Roman" w:hAnsi="Arial" w:cs="Arial"/>
          <w:lang w:val="en-GB" w:eastAsia="es-ES_tradnl"/>
        </w:rPr>
        <w:t xml:space="preserve"> model predicting PD-L1 expression in non-small-cell lung cancer (NSCLC) directly from H&amp;E images</w:t>
      </w:r>
      <w:r>
        <w:rPr>
          <w:rFonts w:ascii="Arial" w:eastAsia="Times New Roman" w:hAnsi="Arial" w:cs="Arial"/>
          <w:lang w:val="en-GB" w:eastAsia="es-ES_tradnl"/>
        </w:rPr>
        <w:t xml:space="preserve"> [3]</w:t>
      </w:r>
      <w:r w:rsidRPr="002633E3">
        <w:rPr>
          <w:rFonts w:ascii="Arial" w:eastAsia="Times New Roman" w:hAnsi="Arial" w:cs="Arial"/>
          <w:lang w:val="en-GB" w:eastAsia="es-ES_tradnl"/>
        </w:rPr>
        <w:t>. To address the third question, cell-type deconvolution was analysed, focusing on approaches that estimate gene expression directly from H&amp;E images (e.g., Path2Omics) to infer transcriptomic profiles, which are subsequently paired with deconvolution algorithms to estimate cellular proportions within the tissue. Finally, the fourth objective addressed treatment response prediction, using pathological complete response (</w:t>
      </w:r>
      <w:proofErr w:type="spellStart"/>
      <w:r w:rsidRPr="002633E3">
        <w:rPr>
          <w:rFonts w:ascii="Arial" w:eastAsia="Times New Roman" w:hAnsi="Arial" w:cs="Arial"/>
          <w:lang w:val="en-GB" w:eastAsia="es-ES_tradnl"/>
        </w:rPr>
        <w:t>pCR</w:t>
      </w:r>
      <w:proofErr w:type="spellEnd"/>
      <w:r w:rsidRPr="002633E3">
        <w:rPr>
          <w:rFonts w:ascii="Arial" w:eastAsia="Times New Roman" w:hAnsi="Arial" w:cs="Arial"/>
          <w:lang w:val="en-GB" w:eastAsia="es-ES_tradnl"/>
        </w:rPr>
        <w:t>) to neoadjuvant chemotherapy in breast cancer as an example</w:t>
      </w:r>
      <w:r>
        <w:rPr>
          <w:rFonts w:ascii="Arial" w:eastAsia="Times New Roman" w:hAnsi="Arial" w:cs="Arial"/>
          <w:lang w:val="en-GB" w:eastAsia="es-ES_tradnl"/>
        </w:rPr>
        <w:t xml:space="preserve"> [6]</w:t>
      </w:r>
      <w:r w:rsidRPr="002633E3">
        <w:rPr>
          <w:rFonts w:ascii="Arial" w:eastAsia="Times New Roman" w:hAnsi="Arial" w:cs="Arial"/>
          <w:lang w:val="en-GB" w:eastAsia="es-ES_tradnl"/>
        </w:rPr>
        <w:t xml:space="preserve">. This task evaluated both direct, end-to-end deep learning models predicting </w:t>
      </w:r>
      <w:proofErr w:type="spellStart"/>
      <w:r w:rsidRPr="002633E3">
        <w:rPr>
          <w:rFonts w:ascii="Arial" w:eastAsia="Times New Roman" w:hAnsi="Arial" w:cs="Arial"/>
          <w:lang w:val="en-GB" w:eastAsia="es-ES_tradnl"/>
        </w:rPr>
        <w:t>pCR</w:t>
      </w:r>
      <w:proofErr w:type="spellEnd"/>
      <w:r w:rsidRPr="002633E3">
        <w:rPr>
          <w:rFonts w:ascii="Arial" w:eastAsia="Times New Roman" w:hAnsi="Arial" w:cs="Arial"/>
          <w:lang w:val="en-GB" w:eastAsia="es-ES_tradnl"/>
        </w:rPr>
        <w:t xml:space="preserve"> solely from image features, and hybrid architectures that employ H&amp;E-derived virtual transcriptomics as an intermediate step to guide clinical prediction.</w:t>
      </w:r>
    </w:p>
    <w:p w14:paraId="4F5B4C5F" w14:textId="77777777" w:rsidR="004F2489" w:rsidRDefault="004F2489" w:rsidP="004F2489">
      <w:pPr>
        <w:autoSpaceDE w:val="0"/>
        <w:autoSpaceDN w:val="0"/>
        <w:adjustRightInd w:val="0"/>
        <w:spacing w:after="0" w:line="240" w:lineRule="auto"/>
        <w:ind w:left="-284" w:right="-284"/>
        <w:jc w:val="both"/>
        <w:rPr>
          <w:rFonts w:ascii="Arial" w:eastAsia="Times New Roman" w:hAnsi="Arial" w:cs="Arial"/>
          <w:b/>
          <w:bCs/>
          <w:lang w:val="en-GB" w:eastAsia="es-ES_tradnl"/>
        </w:rPr>
      </w:pPr>
    </w:p>
    <w:p w14:paraId="7C8DBC2A" w14:textId="77777777" w:rsidR="004F2489" w:rsidRPr="002633E3" w:rsidRDefault="004F2489" w:rsidP="004F2489">
      <w:pPr>
        <w:autoSpaceDE w:val="0"/>
        <w:autoSpaceDN w:val="0"/>
        <w:adjustRightInd w:val="0"/>
        <w:spacing w:after="0" w:line="240" w:lineRule="auto"/>
        <w:ind w:left="-284" w:right="-284"/>
        <w:jc w:val="both"/>
        <w:rPr>
          <w:rFonts w:ascii="Arial" w:eastAsia="Times New Roman" w:hAnsi="Arial" w:cs="Arial"/>
          <w:lang w:val="en-GB"/>
        </w:rPr>
      </w:pPr>
      <w:r w:rsidRPr="000C04DA">
        <w:rPr>
          <w:rFonts w:ascii="Arial" w:eastAsia="Times New Roman" w:hAnsi="Arial" w:cs="Arial"/>
          <w:b/>
          <w:bCs/>
          <w:lang w:val="en-GB" w:eastAsia="es-ES_tradnl"/>
        </w:rPr>
        <w:t>Results</w:t>
      </w:r>
      <w:r w:rsidRPr="00AD3A56">
        <w:rPr>
          <w:rFonts w:ascii="Arial" w:eastAsia="Times New Roman" w:hAnsi="Arial" w:cs="Arial"/>
          <w:b/>
          <w:bCs/>
          <w:lang w:val="en-GB" w:eastAsia="es-ES_tradnl"/>
        </w:rPr>
        <w:t>:</w:t>
      </w:r>
      <w:r w:rsidRPr="000C04DA">
        <w:rPr>
          <w:rFonts w:ascii="Arial" w:eastAsia="Times New Roman" w:hAnsi="Arial" w:cs="Arial"/>
          <w:lang w:val="en-GB" w:eastAsia="es-ES_tradnl"/>
        </w:rPr>
        <w:t xml:space="preserve"> </w:t>
      </w:r>
      <w:r w:rsidRPr="002633E3">
        <w:rPr>
          <w:rFonts w:ascii="Arial" w:eastAsia="Times New Roman" w:hAnsi="Arial" w:cs="Arial"/>
          <w:lang w:val="en-GB" w:eastAsia="es-ES_tradnl"/>
        </w:rPr>
        <w:t>For the first challenge, both architectures successfully segmented and classified nuclei. CellViT-256 demonstrated superior accuracy, achieving a mean panoptic quality (</w:t>
      </w:r>
      <w:proofErr w:type="spellStart"/>
      <w:r w:rsidRPr="002633E3">
        <w:rPr>
          <w:rFonts w:ascii="Arial" w:eastAsia="Times New Roman" w:hAnsi="Arial" w:cs="Arial"/>
          <w:lang w:val="en-GB" w:eastAsia="es-ES_tradnl"/>
        </w:rPr>
        <w:t>mPQ</w:t>
      </w:r>
      <w:proofErr w:type="spellEnd"/>
      <w:r w:rsidRPr="002633E3">
        <w:rPr>
          <w:rFonts w:ascii="Arial" w:eastAsia="Times New Roman" w:hAnsi="Arial" w:cs="Arial"/>
          <w:lang w:val="en-GB" w:eastAsia="es-ES_tradnl"/>
        </w:rPr>
        <w:t xml:space="preserve">) of 0.51 across 19 tissues, which outperformed </w:t>
      </w:r>
      <w:proofErr w:type="spellStart"/>
      <w:r w:rsidRPr="002633E3">
        <w:rPr>
          <w:rFonts w:ascii="Arial" w:eastAsia="Times New Roman" w:hAnsi="Arial" w:cs="Arial"/>
          <w:lang w:val="en-GB" w:eastAsia="es-ES_tradnl"/>
        </w:rPr>
        <w:t>HoVer</w:t>
      </w:r>
      <w:proofErr w:type="spellEnd"/>
      <w:r w:rsidRPr="002633E3">
        <w:rPr>
          <w:rFonts w:ascii="Arial" w:eastAsia="Times New Roman" w:hAnsi="Arial" w:cs="Arial"/>
          <w:lang w:val="en-GB" w:eastAsia="es-ES_tradnl"/>
        </w:rPr>
        <w:t>-Net (</w:t>
      </w:r>
      <w:proofErr w:type="spellStart"/>
      <w:r w:rsidRPr="002633E3">
        <w:rPr>
          <w:rFonts w:ascii="Arial" w:eastAsia="Times New Roman" w:hAnsi="Arial" w:cs="Arial"/>
          <w:lang w:val="en-GB" w:eastAsia="es-ES_tradnl"/>
        </w:rPr>
        <w:t>mPQ</w:t>
      </w:r>
      <w:proofErr w:type="spellEnd"/>
      <w:r w:rsidRPr="002633E3">
        <w:rPr>
          <w:rFonts w:ascii="Arial" w:eastAsia="Times New Roman" w:hAnsi="Arial" w:cs="Arial"/>
          <w:lang w:val="en-GB" w:eastAsia="es-ES_tradnl"/>
        </w:rPr>
        <w:t>: 0.46). Notably, both computational systems approach the human inter-observer variability ceiling (</w:t>
      </w:r>
      <w:proofErr w:type="spellStart"/>
      <w:r w:rsidRPr="002633E3">
        <w:rPr>
          <w:rFonts w:ascii="Arial" w:eastAsia="Times New Roman" w:hAnsi="Arial" w:cs="Arial"/>
          <w:lang w:val="en-GB" w:eastAsia="es-ES_tradnl"/>
        </w:rPr>
        <w:t>mPQ</w:t>
      </w:r>
      <w:proofErr w:type="spellEnd"/>
      <w:r w:rsidRPr="002633E3">
        <w:rPr>
          <w:rFonts w:ascii="Arial" w:eastAsia="Times New Roman" w:hAnsi="Arial" w:cs="Arial"/>
          <w:lang w:val="en-GB" w:eastAsia="es-ES_tradnl"/>
        </w:rPr>
        <w:t xml:space="preserve">: 0.60). Regarding the second question, the </w:t>
      </w:r>
      <w:proofErr w:type="spellStart"/>
      <w:r w:rsidRPr="002633E3">
        <w:rPr>
          <w:rFonts w:ascii="Arial" w:eastAsia="Times New Roman" w:hAnsi="Arial" w:cs="Arial"/>
          <w:lang w:val="en-GB" w:eastAsia="es-ES_tradnl"/>
        </w:rPr>
        <w:t>DenseNet</w:t>
      </w:r>
      <w:proofErr w:type="spellEnd"/>
      <w:r w:rsidRPr="002633E3">
        <w:rPr>
          <w:rFonts w:ascii="Arial" w:eastAsia="Times New Roman" w:hAnsi="Arial" w:cs="Arial"/>
          <w:lang w:val="en-GB" w:eastAsia="es-ES_tradnl"/>
        </w:rPr>
        <w:t xml:space="preserve"> model predicted PD-L1 expression in NSCLC with a sensitivity of 91.21%, a specificity of 60.46%, and an area under the curve (AUC) of 0.85. These metrics indicate that while the model has high sensitivity suitable for triage, its lower specificity prevents it from replacing immunohistochemistry. For the third and fourth challenges, involving cell-type deconvolution via virtual transcriptomics and prediction of complete pathological response in breast cancer, applications currently remain in an exploratory proof-of-concept phase. While hybrid models demonstrate the feasibility of linking H&amp;E morphology to molecular signatures and clinical outcomes, they currently lack consensus benchmarks and broad external validation.</w:t>
      </w:r>
    </w:p>
    <w:p w14:paraId="647892E3" w14:textId="77777777" w:rsidR="004F2489" w:rsidRDefault="004F2489" w:rsidP="004F2489">
      <w:pPr>
        <w:autoSpaceDE w:val="0"/>
        <w:autoSpaceDN w:val="0"/>
        <w:adjustRightInd w:val="0"/>
        <w:spacing w:after="0" w:line="240" w:lineRule="auto"/>
        <w:ind w:left="-284" w:right="-284"/>
        <w:jc w:val="both"/>
        <w:rPr>
          <w:rFonts w:ascii="Arial" w:eastAsia="Times New Roman" w:hAnsi="Arial" w:cs="Arial"/>
          <w:b/>
          <w:bCs/>
          <w:lang w:val="en-GB"/>
        </w:rPr>
      </w:pPr>
    </w:p>
    <w:p w14:paraId="00A80395" w14:textId="77777777" w:rsidR="004F2489" w:rsidRDefault="004F2489" w:rsidP="004F2489">
      <w:pPr>
        <w:autoSpaceDE w:val="0"/>
        <w:autoSpaceDN w:val="0"/>
        <w:adjustRightInd w:val="0"/>
        <w:spacing w:after="0" w:line="240" w:lineRule="auto"/>
        <w:ind w:left="-284" w:right="-284"/>
        <w:jc w:val="both"/>
        <w:rPr>
          <w:rFonts w:ascii="Arial" w:eastAsia="Times New Roman" w:hAnsi="Arial" w:cs="Arial"/>
          <w:lang w:val="en-GB"/>
        </w:rPr>
      </w:pPr>
      <w:r w:rsidRPr="000C04DA">
        <w:rPr>
          <w:rFonts w:ascii="Arial" w:eastAsia="Times New Roman" w:hAnsi="Arial" w:cs="Arial"/>
          <w:b/>
          <w:bCs/>
          <w:lang w:val="en-GB"/>
        </w:rPr>
        <w:t>Conclusions</w:t>
      </w:r>
      <w:r>
        <w:rPr>
          <w:rFonts w:ascii="Arial" w:eastAsia="Times New Roman" w:hAnsi="Arial" w:cs="Arial"/>
          <w:b/>
          <w:bCs/>
          <w:lang w:val="en-GB"/>
        </w:rPr>
        <w:t>:</w:t>
      </w:r>
      <w:r w:rsidRPr="000C04DA">
        <w:rPr>
          <w:rFonts w:ascii="Arial" w:eastAsia="Times New Roman" w:hAnsi="Arial" w:cs="Arial"/>
          <w:b/>
          <w:bCs/>
          <w:lang w:val="en-GB"/>
        </w:rPr>
        <w:t xml:space="preserve"> </w:t>
      </w:r>
      <w:r w:rsidRPr="009A29D4">
        <w:rPr>
          <w:rFonts w:ascii="Arial" w:eastAsia="Times New Roman" w:hAnsi="Arial" w:cs="Arial"/>
          <w:lang w:val="en-GB"/>
        </w:rPr>
        <w:t>Deep learning marks a paradigm shift in digital pathology, unlocking complex molecular and predictive insights directly from routine H&amp;E morphology. These computational models act as powerful extensions of the pathologist's vision, requiring expert clinical oversight for accurate interpretation. This creates a vital synergy between artificial intelligence and human clinical knowledge to advance precision medicine.</w:t>
      </w:r>
    </w:p>
    <w:p w14:paraId="489E1AEF" w14:textId="77777777" w:rsidR="004F2489" w:rsidRDefault="004F2489" w:rsidP="004F2489">
      <w:pPr>
        <w:autoSpaceDE w:val="0"/>
        <w:autoSpaceDN w:val="0"/>
        <w:adjustRightInd w:val="0"/>
        <w:spacing w:after="0" w:line="240" w:lineRule="auto"/>
        <w:ind w:left="-284" w:right="-284"/>
        <w:jc w:val="both"/>
        <w:rPr>
          <w:rFonts w:ascii="Arial" w:eastAsia="Times New Roman" w:hAnsi="Arial" w:cs="Arial"/>
          <w:sz w:val="16"/>
          <w:szCs w:val="16"/>
          <w:lang w:val="en-GB"/>
        </w:rPr>
      </w:pPr>
    </w:p>
    <w:p w14:paraId="747C1851" w14:textId="77777777" w:rsidR="004F2489" w:rsidRPr="001E0148" w:rsidRDefault="004F2489" w:rsidP="004F2489">
      <w:pPr>
        <w:autoSpaceDE w:val="0"/>
        <w:autoSpaceDN w:val="0"/>
        <w:adjustRightInd w:val="0"/>
        <w:spacing w:after="0" w:line="240" w:lineRule="auto"/>
        <w:ind w:left="-284" w:right="-284"/>
        <w:jc w:val="both"/>
        <w:rPr>
          <w:rFonts w:ascii="Arial" w:eastAsia="Times New Roman" w:hAnsi="Arial" w:cs="Arial"/>
        </w:rPr>
      </w:pPr>
      <w:r w:rsidRPr="00EC536B">
        <w:rPr>
          <w:rFonts w:ascii="Arial" w:eastAsia="Times New Roman" w:hAnsi="Arial" w:cs="Arial"/>
          <w:b/>
          <w:bCs/>
          <w:sz w:val="16"/>
          <w:szCs w:val="16"/>
          <w:lang w:val="en-GB"/>
        </w:rPr>
        <w:t>References</w:t>
      </w:r>
      <w:r w:rsidRPr="001E0148">
        <w:rPr>
          <w:rFonts w:ascii="Arial" w:eastAsia="Times New Roman" w:hAnsi="Arial" w:cs="Arial"/>
          <w:sz w:val="16"/>
          <w:szCs w:val="16"/>
          <w:lang w:val="en-GB"/>
        </w:rPr>
        <w:t xml:space="preserve">: [1] Graham S, et al. Med Image Anal. </w:t>
      </w:r>
      <w:proofErr w:type="gramStart"/>
      <w:r w:rsidRPr="001E0148">
        <w:rPr>
          <w:rFonts w:ascii="Arial" w:eastAsia="Times New Roman" w:hAnsi="Arial" w:cs="Arial"/>
          <w:sz w:val="16"/>
          <w:szCs w:val="16"/>
          <w:lang w:val="en-GB"/>
        </w:rPr>
        <w:t>2019;58:101563</w:t>
      </w:r>
      <w:proofErr w:type="gramEnd"/>
      <w:r w:rsidRPr="001E0148">
        <w:rPr>
          <w:rFonts w:ascii="Arial" w:eastAsia="Times New Roman" w:hAnsi="Arial" w:cs="Arial"/>
          <w:sz w:val="16"/>
          <w:szCs w:val="16"/>
          <w:lang w:val="en-GB"/>
        </w:rPr>
        <w:t xml:space="preserve">. [2] </w:t>
      </w:r>
      <w:proofErr w:type="spellStart"/>
      <w:r w:rsidRPr="001E0148">
        <w:rPr>
          <w:rFonts w:ascii="Arial" w:eastAsia="Times New Roman" w:hAnsi="Arial" w:cs="Arial"/>
          <w:sz w:val="16"/>
          <w:szCs w:val="16"/>
          <w:lang w:val="en-GB"/>
        </w:rPr>
        <w:t>Hörst</w:t>
      </w:r>
      <w:proofErr w:type="spellEnd"/>
      <w:r w:rsidRPr="001E0148">
        <w:rPr>
          <w:rFonts w:ascii="Arial" w:eastAsia="Times New Roman" w:hAnsi="Arial" w:cs="Arial"/>
          <w:sz w:val="16"/>
          <w:szCs w:val="16"/>
          <w:lang w:val="en-GB"/>
        </w:rPr>
        <w:t xml:space="preserve"> F, et al. Med Image Anal. </w:t>
      </w:r>
      <w:proofErr w:type="gramStart"/>
      <w:r w:rsidRPr="001E0148">
        <w:rPr>
          <w:rFonts w:ascii="Arial" w:eastAsia="Times New Roman" w:hAnsi="Arial" w:cs="Arial"/>
          <w:sz w:val="16"/>
          <w:szCs w:val="16"/>
          <w:lang w:val="en-GB"/>
        </w:rPr>
        <w:t>2024;94:103143</w:t>
      </w:r>
      <w:proofErr w:type="gramEnd"/>
      <w:r w:rsidRPr="001E0148">
        <w:rPr>
          <w:rFonts w:ascii="Arial" w:eastAsia="Times New Roman" w:hAnsi="Arial" w:cs="Arial"/>
          <w:sz w:val="16"/>
          <w:szCs w:val="16"/>
          <w:lang w:val="en-GB"/>
        </w:rPr>
        <w:t xml:space="preserve">. [3] Gamper J, et al. </w:t>
      </w:r>
      <w:r w:rsidRPr="001E0148">
        <w:rPr>
          <w:rFonts w:ascii="Arial" w:eastAsia="Times New Roman" w:hAnsi="Arial" w:cs="Arial"/>
          <w:sz w:val="16"/>
          <w:szCs w:val="16"/>
        </w:rPr>
        <w:t>ECDP. 2019:11–19. [4] Huelin Parras F. Universidad de Málaga; 2023. https://hdl.handle.net/10630/31538</w:t>
      </w:r>
      <w:r>
        <w:rPr>
          <w:rFonts w:ascii="Arial" w:eastAsia="Times New Roman" w:hAnsi="Arial" w:cs="Arial"/>
          <w:sz w:val="16"/>
          <w:szCs w:val="16"/>
        </w:rPr>
        <w:t xml:space="preserve">. [5] </w:t>
      </w:r>
      <w:r w:rsidRPr="002E0318">
        <w:rPr>
          <w:rFonts w:ascii="Arial" w:eastAsia="Times New Roman" w:hAnsi="Arial" w:cs="Arial"/>
          <w:sz w:val="16"/>
          <w:szCs w:val="16"/>
        </w:rPr>
        <w:t xml:space="preserve">Hoang DT, et al. </w:t>
      </w:r>
      <w:proofErr w:type="spellStart"/>
      <w:r w:rsidRPr="002E0318">
        <w:rPr>
          <w:rFonts w:ascii="Arial" w:eastAsia="Times New Roman" w:hAnsi="Arial" w:cs="Arial"/>
          <w:sz w:val="16"/>
          <w:szCs w:val="16"/>
        </w:rPr>
        <w:t>Cancer</w:t>
      </w:r>
      <w:proofErr w:type="spellEnd"/>
      <w:r w:rsidRPr="002E0318">
        <w:rPr>
          <w:rFonts w:ascii="Arial" w:eastAsia="Times New Roman" w:hAnsi="Arial" w:cs="Arial"/>
          <w:sz w:val="16"/>
          <w:szCs w:val="16"/>
        </w:rPr>
        <w:t xml:space="preserve"> Res. 2025;85(24):5098-5112</w:t>
      </w:r>
      <w:r>
        <w:rPr>
          <w:rFonts w:ascii="Arial" w:eastAsia="Times New Roman" w:hAnsi="Arial" w:cs="Arial"/>
          <w:sz w:val="16"/>
          <w:szCs w:val="16"/>
        </w:rPr>
        <w:t xml:space="preserve">. [6] </w:t>
      </w:r>
      <w:r w:rsidRPr="00E254A7">
        <w:rPr>
          <w:rFonts w:ascii="Arial" w:eastAsia="Times New Roman" w:hAnsi="Arial" w:cs="Arial"/>
          <w:sz w:val="16"/>
          <w:szCs w:val="16"/>
        </w:rPr>
        <w:t xml:space="preserve">Cantore T, et al. Ann Oncol. </w:t>
      </w:r>
      <w:proofErr w:type="gramStart"/>
      <w:r w:rsidRPr="00E254A7">
        <w:rPr>
          <w:rFonts w:ascii="Arial" w:eastAsia="Times New Roman" w:hAnsi="Arial" w:cs="Arial"/>
          <w:sz w:val="16"/>
          <w:szCs w:val="16"/>
        </w:rPr>
        <w:t>2026:S</w:t>
      </w:r>
      <w:proofErr w:type="gramEnd"/>
      <w:r w:rsidRPr="00E254A7">
        <w:rPr>
          <w:rFonts w:ascii="Arial" w:eastAsia="Times New Roman" w:hAnsi="Arial" w:cs="Arial"/>
          <w:sz w:val="16"/>
          <w:szCs w:val="16"/>
        </w:rPr>
        <w:t>0923-7534(26)00884-7</w:t>
      </w:r>
      <w:r>
        <w:rPr>
          <w:rFonts w:ascii="Arial" w:eastAsia="Times New Roman" w:hAnsi="Arial" w:cs="Arial"/>
          <w:sz w:val="16"/>
          <w:szCs w:val="16"/>
        </w:rPr>
        <w:t>.</w:t>
      </w:r>
    </w:p>
    <w:p w14:paraId="0FF43BEB" w14:textId="77777777" w:rsidR="00242767" w:rsidRDefault="00242767"/>
    <w:sectPr w:rsidR="00242767" w:rsidSect="004F2489">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31979" w14:textId="77777777" w:rsidR="00D4060D" w:rsidRDefault="00D4060D" w:rsidP="004F2489">
      <w:pPr>
        <w:spacing w:after="0" w:line="240" w:lineRule="auto"/>
      </w:pPr>
      <w:r>
        <w:separator/>
      </w:r>
    </w:p>
  </w:endnote>
  <w:endnote w:type="continuationSeparator" w:id="0">
    <w:p w14:paraId="5CE0D373" w14:textId="77777777" w:rsidR="00D4060D" w:rsidRDefault="00D4060D" w:rsidP="004F2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ABA7" w14:textId="77777777" w:rsidR="004F2489" w:rsidRDefault="004F248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6D5F" w14:textId="77777777" w:rsidR="004F2489" w:rsidRDefault="004F248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C061" w14:textId="77777777" w:rsidR="004F2489" w:rsidRDefault="004F24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BC761" w14:textId="77777777" w:rsidR="00D4060D" w:rsidRDefault="00D4060D" w:rsidP="004F2489">
      <w:pPr>
        <w:spacing w:after="0" w:line="240" w:lineRule="auto"/>
      </w:pPr>
      <w:r>
        <w:separator/>
      </w:r>
    </w:p>
  </w:footnote>
  <w:footnote w:type="continuationSeparator" w:id="0">
    <w:p w14:paraId="16264C5F" w14:textId="77777777" w:rsidR="00D4060D" w:rsidRDefault="00D4060D" w:rsidP="004F24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30F6" w14:textId="77777777" w:rsidR="004F2489" w:rsidRDefault="004F248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CA65" w14:textId="1E8B0542" w:rsidR="004F2489" w:rsidRDefault="004F2489" w:rsidP="00D551C9">
    <w:pPr>
      <w:pStyle w:val="Encabezado"/>
      <w:tabs>
        <w:tab w:val="clear" w:pos="8504"/>
      </w:tabs>
      <w:ind w:right="-28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6F47" w14:textId="77777777" w:rsidR="004F2489" w:rsidRDefault="004F248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631"/>
    <w:rsid w:val="00242767"/>
    <w:rsid w:val="00400AEF"/>
    <w:rsid w:val="004F2489"/>
    <w:rsid w:val="00917B9B"/>
    <w:rsid w:val="00AB7631"/>
    <w:rsid w:val="00D4060D"/>
    <w:rsid w:val="00D549B9"/>
    <w:rsid w:val="00E759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49CFBF-8811-4E6F-9B29-0C2E7812F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489"/>
    <w:pPr>
      <w:spacing w:after="200" w:line="276" w:lineRule="auto"/>
    </w:pPr>
    <w:rPr>
      <w:kern w:val="0"/>
      <w14:ligatures w14:val="none"/>
    </w:rPr>
  </w:style>
  <w:style w:type="paragraph" w:styleId="Ttulo1">
    <w:name w:val="heading 1"/>
    <w:basedOn w:val="Normal"/>
    <w:next w:val="Normal"/>
    <w:link w:val="Ttulo1Car"/>
    <w:uiPriority w:val="9"/>
    <w:qFormat/>
    <w:rsid w:val="00AB763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AB763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AB7631"/>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AB7631"/>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AB7631"/>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AB7631"/>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AB7631"/>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AB7631"/>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AB7631"/>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763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B763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B763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B763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B763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B763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B763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B763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B7631"/>
    <w:rPr>
      <w:rFonts w:eastAsiaTheme="majorEastAsia" w:cstheme="majorBidi"/>
      <w:color w:val="272727" w:themeColor="text1" w:themeTint="D8"/>
    </w:rPr>
  </w:style>
  <w:style w:type="paragraph" w:styleId="Ttulo">
    <w:name w:val="Title"/>
    <w:basedOn w:val="Normal"/>
    <w:next w:val="Normal"/>
    <w:link w:val="TtuloCar"/>
    <w:uiPriority w:val="10"/>
    <w:qFormat/>
    <w:rsid w:val="00AB763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AB763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B7631"/>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AB763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B7631"/>
    <w:pPr>
      <w:spacing w:before="160" w:after="160" w:line="259" w:lineRule="auto"/>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AB7631"/>
    <w:rPr>
      <w:i/>
      <w:iCs/>
      <w:color w:val="404040" w:themeColor="text1" w:themeTint="BF"/>
    </w:rPr>
  </w:style>
  <w:style w:type="paragraph" w:styleId="Prrafodelista">
    <w:name w:val="List Paragraph"/>
    <w:basedOn w:val="Normal"/>
    <w:uiPriority w:val="34"/>
    <w:qFormat/>
    <w:rsid w:val="00AB7631"/>
    <w:pPr>
      <w:spacing w:after="160" w:line="259" w:lineRule="auto"/>
      <w:ind w:left="720"/>
      <w:contextualSpacing/>
    </w:pPr>
    <w:rPr>
      <w:kern w:val="2"/>
      <w14:ligatures w14:val="standardContextual"/>
    </w:rPr>
  </w:style>
  <w:style w:type="character" w:styleId="nfasisintenso">
    <w:name w:val="Intense Emphasis"/>
    <w:basedOn w:val="Fuentedeprrafopredeter"/>
    <w:uiPriority w:val="21"/>
    <w:qFormat/>
    <w:rsid w:val="00AB7631"/>
    <w:rPr>
      <w:i/>
      <w:iCs/>
      <w:color w:val="0F4761" w:themeColor="accent1" w:themeShade="BF"/>
    </w:rPr>
  </w:style>
  <w:style w:type="paragraph" w:styleId="Citadestacada">
    <w:name w:val="Intense Quote"/>
    <w:basedOn w:val="Normal"/>
    <w:next w:val="Normal"/>
    <w:link w:val="CitadestacadaCar"/>
    <w:uiPriority w:val="30"/>
    <w:qFormat/>
    <w:rsid w:val="00AB763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AB7631"/>
    <w:rPr>
      <w:i/>
      <w:iCs/>
      <w:color w:val="0F4761" w:themeColor="accent1" w:themeShade="BF"/>
    </w:rPr>
  </w:style>
  <w:style w:type="character" w:styleId="Referenciaintensa">
    <w:name w:val="Intense Reference"/>
    <w:basedOn w:val="Fuentedeprrafopredeter"/>
    <w:uiPriority w:val="32"/>
    <w:qFormat/>
    <w:rsid w:val="00AB7631"/>
    <w:rPr>
      <w:b/>
      <w:bCs/>
      <w:smallCaps/>
      <w:color w:val="0F4761" w:themeColor="accent1" w:themeShade="BF"/>
      <w:spacing w:val="5"/>
    </w:rPr>
  </w:style>
  <w:style w:type="paragraph" w:styleId="Encabezado">
    <w:name w:val="header"/>
    <w:basedOn w:val="Normal"/>
    <w:link w:val="EncabezadoCar"/>
    <w:uiPriority w:val="99"/>
    <w:unhideWhenUsed/>
    <w:rsid w:val="004F24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F2489"/>
    <w:rPr>
      <w:kern w:val="0"/>
      <w14:ligatures w14:val="none"/>
    </w:rPr>
  </w:style>
  <w:style w:type="paragraph" w:styleId="NormalWeb">
    <w:name w:val="Normal (Web)"/>
    <w:basedOn w:val="Normal"/>
    <w:uiPriority w:val="99"/>
    <w:unhideWhenUsed/>
    <w:rsid w:val="004F248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F24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F248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669</Words>
  <Characters>3681</Characters>
  <Application>Microsoft Office Word</Application>
  <DocSecurity>0</DocSecurity>
  <Lines>30</Lines>
  <Paragraphs>8</Paragraphs>
  <ScaleCrop>false</ScaleCrop>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Teofilo Bermudez Flores</dc:creator>
  <cp:keywords/>
  <dc:description/>
  <cp:lastModifiedBy>INMACULADA ORTIZ RUIZ</cp:lastModifiedBy>
  <cp:revision>2</cp:revision>
  <dcterms:created xsi:type="dcterms:W3CDTF">2026-08-19T07:04:00Z</dcterms:created>
  <dcterms:modified xsi:type="dcterms:W3CDTF">2026-08-19T07:04:00Z</dcterms:modified>
</cp:coreProperties>
</file>